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bCs/>
          <w:color w:val="000000" w:themeColor="text1"/>
          <w:sz w:val="44"/>
          <w14:textFill>
            <w14:solidFill>
              <w14:schemeClr w14:val="tx1"/>
            </w14:solidFill>
          </w14:textFill>
        </w:rPr>
      </w:pPr>
      <w:bookmarkStart w:id="0" w:name="_Hlk19734405"/>
    </w:p>
    <w:p>
      <w:pPr>
        <w:spacing w:line="360" w:lineRule="auto"/>
        <w:jc w:val="center"/>
        <w:rPr>
          <w:bCs/>
          <w:color w:val="000000" w:themeColor="text1"/>
          <w:sz w:val="24"/>
          <w14:textFill>
            <w14:solidFill>
              <w14:schemeClr w14:val="tx1"/>
            </w14:solidFill>
          </w14:textFill>
        </w:rPr>
      </w:pPr>
    </w:p>
    <w:p>
      <w:pPr>
        <w:jc w:val="center"/>
        <w:rPr>
          <w:b/>
          <w:color w:val="000000" w:themeColor="text1"/>
          <w:sz w:val="52"/>
          <w14:textFill>
            <w14:solidFill>
              <w14:schemeClr w14:val="tx1"/>
            </w14:solidFill>
          </w14:textFill>
        </w:rPr>
      </w:pPr>
    </w:p>
    <w:p>
      <w:pPr>
        <w:jc w:val="center"/>
        <w:rPr>
          <w:b/>
          <w:color w:val="000000" w:themeColor="text1"/>
          <w:sz w:val="52"/>
          <w14:textFill>
            <w14:solidFill>
              <w14:schemeClr w14:val="tx1"/>
            </w14:solidFill>
          </w14:textFill>
        </w:rPr>
      </w:pPr>
      <w:r>
        <w:rPr>
          <w:rFonts w:hint="eastAsia"/>
          <w:b/>
          <w:color w:val="000000" w:themeColor="text1"/>
          <w:sz w:val="52"/>
          <w14:textFill>
            <w14:solidFill>
              <w14:schemeClr w14:val="tx1"/>
            </w14:solidFill>
          </w14:textFill>
        </w:rPr>
        <w:t>大成基金管理有限</w:t>
      </w:r>
      <w:r>
        <w:rPr>
          <w:b/>
          <w:color w:val="000000" w:themeColor="text1"/>
          <w:sz w:val="52"/>
          <w14:textFill>
            <w14:solidFill>
              <w14:schemeClr w14:val="tx1"/>
            </w14:solidFill>
          </w14:textFill>
        </w:rPr>
        <w:t>公司</w:t>
      </w:r>
    </w:p>
    <w:p>
      <w:pPr>
        <w:rPr>
          <w:b/>
          <w:color w:val="000000" w:themeColor="text1"/>
          <w14:textFill>
            <w14:solidFill>
              <w14:schemeClr w14:val="tx1"/>
            </w14:solidFill>
          </w14:textFill>
        </w:rPr>
      </w:pPr>
    </w:p>
    <w:p>
      <w:pPr>
        <w:jc w:val="center"/>
        <w:rPr>
          <w:b/>
          <w:color w:val="000000" w:themeColor="text1"/>
          <w:sz w:val="52"/>
          <w14:textFill>
            <w14:solidFill>
              <w14:schemeClr w14:val="tx1"/>
            </w14:solidFill>
          </w14:textFill>
        </w:rPr>
      </w:pPr>
    </w:p>
    <w:p>
      <w:pPr>
        <w:jc w:val="center"/>
        <w:rPr>
          <w:b/>
          <w:color w:val="000000" w:themeColor="text1"/>
          <w:sz w:val="48"/>
          <w14:textFill>
            <w14:solidFill>
              <w14:schemeClr w14:val="tx1"/>
            </w14:solidFill>
          </w14:textFill>
        </w:rPr>
      </w:pPr>
      <w:bookmarkStart w:id="1" w:name="_Toc123701381"/>
      <w:bookmarkStart w:id="2" w:name="_Toc139992299"/>
      <w:bookmarkStart w:id="3" w:name="_Toc123112261"/>
      <w:bookmarkStart w:id="4" w:name="_Toc123112222"/>
      <w:bookmarkStart w:id="5" w:name="_Toc139991724"/>
      <w:r>
        <w:rPr>
          <w:rFonts w:hint="eastAsia"/>
          <w:b/>
          <w:color w:val="000000" w:themeColor="text1"/>
          <w:sz w:val="48"/>
          <w14:textFill>
            <w14:solidFill>
              <w14:schemeClr w14:val="tx1"/>
            </w14:solidFill>
          </w14:textFill>
        </w:rPr>
        <w:t>大成中证AAA科技创新公司债交易型开放式指数证券投资基金</w:t>
      </w:r>
    </w:p>
    <w:p>
      <w:pPr>
        <w:jc w:val="center"/>
        <w:rPr>
          <w:b/>
          <w:color w:val="000000" w:themeColor="text1"/>
          <w:sz w:val="52"/>
          <w14:textFill>
            <w14:solidFill>
              <w14:schemeClr w14:val="tx1"/>
            </w14:solidFill>
          </w14:textFill>
        </w:rPr>
      </w:pPr>
      <w:r>
        <w:rPr>
          <w:rFonts w:hint="eastAsia"/>
          <w:b/>
          <w:color w:val="000000" w:themeColor="text1"/>
          <w:sz w:val="48"/>
          <w14:textFill>
            <w14:solidFill>
              <w14:schemeClr w14:val="tx1"/>
            </w14:solidFill>
          </w14:textFill>
        </w:rPr>
        <w:t>基金合同</w:t>
      </w:r>
      <w:bookmarkEnd w:id="1"/>
      <w:bookmarkEnd w:id="2"/>
      <w:bookmarkEnd w:id="3"/>
      <w:bookmarkEnd w:id="4"/>
      <w:bookmarkEnd w:id="5"/>
    </w:p>
    <w:p>
      <w:pPr>
        <w:jc w:val="center"/>
        <w:rPr>
          <w:b/>
          <w:color w:val="000000" w:themeColor="text1"/>
          <w:sz w:val="52"/>
          <w14:textFill>
            <w14:solidFill>
              <w14:schemeClr w14:val="tx1"/>
            </w14:solidFill>
          </w14:textFill>
        </w:rPr>
      </w:pPr>
    </w:p>
    <w:p>
      <w:pPr>
        <w:jc w:val="center"/>
        <w:rPr>
          <w:b/>
          <w:color w:val="000000" w:themeColor="text1"/>
          <w:sz w:val="52"/>
          <w14:textFill>
            <w14:solidFill>
              <w14:schemeClr w14:val="tx1"/>
            </w14:solidFill>
          </w14:textFill>
        </w:rPr>
      </w:pPr>
    </w:p>
    <w:p>
      <w:pPr>
        <w:jc w:val="center"/>
        <w:rPr>
          <w:b/>
          <w:color w:val="000000" w:themeColor="text1"/>
          <w:sz w:val="52"/>
          <w14:textFill>
            <w14:solidFill>
              <w14:schemeClr w14:val="tx1"/>
            </w14:solidFill>
          </w14:textFill>
        </w:rPr>
      </w:pPr>
    </w:p>
    <w:p>
      <w:pPr>
        <w:jc w:val="center"/>
        <w:rPr>
          <w:b/>
          <w:color w:val="000000" w:themeColor="text1"/>
          <w:sz w:val="52"/>
          <w14:textFill>
            <w14:solidFill>
              <w14:schemeClr w14:val="tx1"/>
            </w14:solidFill>
          </w14:textFill>
        </w:rPr>
      </w:pPr>
    </w:p>
    <w:p>
      <w:pPr>
        <w:rPr>
          <w:b/>
          <w:color w:val="000000" w:themeColor="text1"/>
          <w14:textFill>
            <w14:solidFill>
              <w14:schemeClr w14:val="tx1"/>
            </w14:solidFill>
          </w14:textFill>
        </w:rPr>
      </w:pPr>
    </w:p>
    <w:p>
      <w:pPr>
        <w:jc w:val="center"/>
        <w:rPr>
          <w:b/>
          <w:color w:val="000000" w:themeColor="text1"/>
          <w:sz w:val="36"/>
          <w14:textFill>
            <w14:solidFill>
              <w14:schemeClr w14:val="tx1"/>
            </w14:solidFill>
          </w14:textFill>
        </w:rPr>
      </w:pPr>
      <w:bookmarkStart w:id="6" w:name="_Toc139992301"/>
      <w:bookmarkStart w:id="7" w:name="_Toc139991726"/>
      <w:bookmarkStart w:id="8" w:name="_Toc123112224"/>
      <w:bookmarkStart w:id="9" w:name="_Toc123112263"/>
      <w:bookmarkStart w:id="10" w:name="_Toc123701383"/>
      <w:r>
        <w:rPr>
          <w:b/>
          <w:color w:val="000000" w:themeColor="text1"/>
          <w:sz w:val="36"/>
          <w14:textFill>
            <w14:solidFill>
              <w14:schemeClr w14:val="tx1"/>
            </w14:solidFill>
          </w14:textFill>
        </w:rPr>
        <w:t>基金管理人：</w:t>
      </w:r>
      <w:bookmarkEnd w:id="6"/>
      <w:bookmarkEnd w:id="7"/>
      <w:bookmarkEnd w:id="8"/>
      <w:bookmarkEnd w:id="9"/>
      <w:bookmarkEnd w:id="10"/>
      <w:r>
        <w:rPr>
          <w:rFonts w:hint="eastAsia"/>
          <w:b/>
          <w:color w:val="000000" w:themeColor="text1"/>
          <w:sz w:val="36"/>
          <w14:textFill>
            <w14:solidFill>
              <w14:schemeClr w14:val="tx1"/>
            </w14:solidFill>
          </w14:textFill>
        </w:rPr>
        <w:t>大成基金管理有限公司</w:t>
      </w:r>
      <w:r>
        <w:rPr>
          <w:b/>
          <w:color w:val="000000" w:themeColor="text1"/>
          <w:sz w:val="36"/>
          <w14:textFill>
            <w14:solidFill>
              <w14:schemeClr w14:val="tx1"/>
            </w14:solidFill>
          </w14:textFill>
        </w:rPr>
        <w:t xml:space="preserve">    </w:t>
      </w:r>
    </w:p>
    <w:p>
      <w:pPr>
        <w:jc w:val="center"/>
        <w:rPr>
          <w:b/>
          <w:color w:val="000000" w:themeColor="text1"/>
          <w:sz w:val="36"/>
          <w14:textFill>
            <w14:solidFill>
              <w14:schemeClr w14:val="tx1"/>
            </w14:solidFill>
          </w14:textFill>
        </w:rPr>
      </w:pPr>
      <w:bookmarkStart w:id="11" w:name="_Toc139992302"/>
      <w:bookmarkStart w:id="12" w:name="_Toc139991727"/>
      <w:bookmarkStart w:id="13" w:name="_Toc123701384"/>
      <w:bookmarkStart w:id="14" w:name="_Toc123112264"/>
      <w:bookmarkStart w:id="15" w:name="_Toc123112225"/>
      <w:r>
        <w:rPr>
          <w:b/>
          <w:color w:val="000000" w:themeColor="text1"/>
          <w:sz w:val="36"/>
          <w14:textFill>
            <w14:solidFill>
              <w14:schemeClr w14:val="tx1"/>
            </w14:solidFill>
          </w14:textFill>
        </w:rPr>
        <w:t>基金托管人：</w:t>
      </w:r>
      <w:r>
        <w:rPr>
          <w:rFonts w:hint="eastAsia"/>
          <w:b/>
          <w:color w:val="000000" w:themeColor="text1"/>
          <w:sz w:val="36"/>
          <w14:textFill>
            <w14:solidFill>
              <w14:schemeClr w14:val="tx1"/>
            </w14:solidFill>
          </w14:textFill>
        </w:rPr>
        <w:t>中国建设银行股份有限公司</w:t>
      </w:r>
      <w:r>
        <w:rPr>
          <w:b/>
          <w:color w:val="000000" w:themeColor="text1"/>
          <w:sz w:val="36"/>
          <w14:textFill>
            <w14:solidFill>
              <w14:schemeClr w14:val="tx1"/>
            </w14:solidFill>
          </w14:textFill>
        </w:rPr>
        <w:t xml:space="preserve">         </w:t>
      </w:r>
      <w:bookmarkEnd w:id="11"/>
      <w:bookmarkEnd w:id="12"/>
      <w:bookmarkEnd w:id="13"/>
      <w:bookmarkEnd w:id="14"/>
      <w:bookmarkEnd w:id="15"/>
      <w:r>
        <w:rPr>
          <w:b/>
          <w:color w:val="000000" w:themeColor="text1"/>
          <w:sz w:val="36"/>
          <w14:textFill>
            <w14:solidFill>
              <w14:schemeClr w14:val="tx1"/>
            </w14:solidFill>
          </w14:textFill>
        </w:rPr>
        <w:t xml:space="preserve"> </w:t>
      </w:r>
    </w:p>
    <w:p>
      <w:pPr>
        <w:jc w:val="center"/>
        <w:rPr>
          <w:bCs/>
          <w:color w:val="000000" w:themeColor="text1"/>
          <w:sz w:val="32"/>
          <w14:textFill>
            <w14:solidFill>
              <w14:schemeClr w14:val="tx1"/>
            </w14:solidFill>
          </w14:textFill>
        </w:rPr>
      </w:pPr>
    </w:p>
    <w:p>
      <w:pPr>
        <w:jc w:val="center"/>
        <w:rPr>
          <w:bCs/>
          <w:color w:val="000000" w:themeColor="text1"/>
          <w:sz w:val="28"/>
          <w14:textFill>
            <w14:solidFill>
              <w14:schemeClr w14:val="tx1"/>
            </w14:solidFill>
          </w14:textFill>
        </w:rPr>
      </w:pPr>
      <w:bookmarkStart w:id="16" w:name="_Toc139991729"/>
      <w:bookmarkStart w:id="17" w:name="_Toc123112266"/>
      <w:bookmarkStart w:id="18" w:name="_Toc123701386"/>
      <w:bookmarkStart w:id="19" w:name="_Toc123112227"/>
    </w:p>
    <w:p>
      <w:pPr>
        <w:jc w:val="center"/>
        <w:rPr>
          <w:bCs/>
          <w:color w:val="000000" w:themeColor="text1"/>
          <w:sz w:val="28"/>
          <w14:textFill>
            <w14:solidFill>
              <w14:schemeClr w14:val="tx1"/>
            </w14:solidFill>
          </w14:textFill>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r>
        <w:rPr>
          <w:rFonts w:hint="eastAsia" w:ascii="宋体"/>
          <w:b/>
          <w:bCs/>
          <w:color w:val="000000" w:themeColor="text1"/>
          <w:sz w:val="30"/>
          <w14:textFill>
            <w14:solidFill>
              <w14:schemeClr w14:val="tx1"/>
            </w14:solidFill>
          </w14:textFill>
        </w:rPr>
        <w:t>二〇二五年九月</w:t>
      </w:r>
    </w:p>
    <w:p>
      <w:pPr>
        <w:jc w:val="center"/>
        <w:rPr>
          <w:bCs/>
          <w:color w:val="000000" w:themeColor="text1"/>
          <w:sz w:val="28"/>
          <w14:textFill>
            <w14:solidFill>
              <w14:schemeClr w14:val="tx1"/>
            </w14:solidFill>
          </w14:textFill>
        </w:rPr>
      </w:pPr>
      <w:r>
        <w:rPr>
          <w:bCs/>
          <w:color w:val="000000" w:themeColor="text1"/>
          <w:sz w:val="28"/>
          <w14:textFill>
            <w14:solidFill>
              <w14:schemeClr w14:val="tx1"/>
            </w14:solidFill>
          </w14:textFill>
        </w:rPr>
        <w:t>目    录</w:t>
      </w:r>
      <w:bookmarkEnd w:id="16"/>
      <w:bookmarkEnd w:id="17"/>
      <w:bookmarkEnd w:id="18"/>
      <w:bookmarkEnd w:id="19"/>
    </w:p>
    <w:p>
      <w:pPr>
        <w:pStyle w:val="17"/>
        <w:rPr>
          <w:rFonts w:ascii="Calibri" w:hAnsi="Calibri"/>
          <w:color w:val="000000" w:themeColor="text1"/>
          <w:szCs w:val="22"/>
          <w14:textFill>
            <w14:solidFill>
              <w14:schemeClr w14:val="tx1"/>
            </w14:solidFill>
          </w14:textFill>
        </w:rPr>
      </w:pPr>
      <w:r>
        <w:rPr>
          <w:bCs/>
          <w:color w:val="000000" w:themeColor="text1"/>
          <w:sz w:val="24"/>
          <w14:textFill>
            <w14:solidFill>
              <w14:schemeClr w14:val="tx1"/>
            </w14:solidFill>
          </w14:textFill>
        </w:rPr>
        <w:fldChar w:fldCharType="begin"/>
      </w:r>
      <w:r>
        <w:rPr>
          <w:bCs/>
          <w:color w:val="000000" w:themeColor="text1"/>
          <w:sz w:val="24"/>
          <w14:textFill>
            <w14:solidFill>
              <w14:schemeClr w14:val="tx1"/>
            </w14:solidFill>
          </w14:textFill>
        </w:rPr>
        <w:instrText xml:space="preserve"> TOC \o "1-1" \h \z \u </w:instrText>
      </w:r>
      <w:r>
        <w:rPr>
          <w:bCs/>
          <w:color w:val="000000" w:themeColor="text1"/>
          <w:sz w:val="24"/>
          <w14:textFill>
            <w14:solidFill>
              <w14:schemeClr w14:val="tx1"/>
            </w14:solidFill>
          </w14:textFill>
        </w:rPr>
        <w:fldChar w:fldCharType="separate"/>
      </w:r>
      <w:r>
        <w:fldChar w:fldCharType="begin"/>
      </w:r>
      <w:r>
        <w:instrText xml:space="preserve"> HYPERLINK \l "_Toc104716687" </w:instrText>
      </w:r>
      <w:r>
        <w:fldChar w:fldCharType="separate"/>
      </w:r>
      <w:r>
        <w:rPr>
          <w:rStyle w:val="26"/>
          <w:rFonts w:hint="eastAsia"/>
          <w:color w:val="000000" w:themeColor="text1"/>
          <w14:textFill>
            <w14:solidFill>
              <w14:schemeClr w14:val="tx1"/>
            </w14:solidFill>
          </w14:textFill>
        </w:rPr>
        <w:t>第一部分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前言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_Toc104716687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"_Toc104716688" </w:instrText>
      </w:r>
      <w:r>
        <w:fldChar w:fldCharType="separate"/>
      </w:r>
      <w:r>
        <w:rPr>
          <w:rStyle w:val="26"/>
          <w:rFonts w:hint="eastAsia"/>
          <w:color w:val="000000" w:themeColor="text1"/>
          <w14:textFill>
            <w14:solidFill>
              <w14:schemeClr w14:val="tx1"/>
            </w14:solidFill>
          </w14:textFill>
        </w:rPr>
        <w:t>第二部分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释义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_Toc104716688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"_Toc104716689" </w:instrText>
      </w:r>
      <w:r>
        <w:fldChar w:fldCharType="separate"/>
      </w:r>
      <w:r>
        <w:rPr>
          <w:rStyle w:val="26"/>
          <w:rFonts w:hint="eastAsia"/>
          <w:color w:val="000000" w:themeColor="text1"/>
          <w14:textFill>
            <w14:solidFill>
              <w14:schemeClr w14:val="tx1"/>
            </w14:solidFill>
          </w14:textFill>
        </w:rPr>
        <w:t>第三部分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w:t>
      </w:r>
      <w:bookmarkStart w:id="20" w:name="_Hlt177989110"/>
      <w:r>
        <w:rPr>
          <w:rStyle w:val="26"/>
          <w:rFonts w:hint="eastAsia"/>
          <w:color w:val="000000" w:themeColor="text1"/>
          <w14:textFill>
            <w14:solidFill>
              <w14:schemeClr w14:val="tx1"/>
            </w14:solidFill>
          </w14:textFill>
        </w:rPr>
        <w:t>的</w:t>
      </w:r>
      <w:bookmarkEnd w:id="20"/>
      <w:bookmarkStart w:id="21" w:name="_Hlt177982550"/>
      <w:bookmarkStart w:id="22" w:name="_Hlt177989348"/>
      <w:bookmarkStart w:id="23" w:name="_Hlt177982551"/>
      <w:bookmarkStart w:id="24" w:name="_Hlt177988888"/>
      <w:r>
        <w:rPr>
          <w:rStyle w:val="26"/>
          <w:rFonts w:hint="eastAsia"/>
          <w:color w:val="000000" w:themeColor="text1"/>
          <w14:textFill>
            <w14:solidFill>
              <w14:schemeClr w14:val="tx1"/>
            </w14:solidFill>
          </w14:textFill>
        </w:rPr>
        <w:t>基</w:t>
      </w:r>
      <w:bookmarkEnd w:id="21"/>
      <w:bookmarkEnd w:id="22"/>
      <w:bookmarkEnd w:id="23"/>
      <w:bookmarkEnd w:id="24"/>
      <w:r>
        <w:rPr>
          <w:rStyle w:val="26"/>
          <w:rFonts w:hint="eastAsia"/>
          <w:color w:val="000000" w:themeColor="text1"/>
          <w14:textFill>
            <w14:solidFill>
              <w14:schemeClr w14:val="tx1"/>
            </w14:solidFill>
          </w14:textFill>
        </w:rPr>
        <w:t>本情况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_Toc104716689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"_Toc104716690" </w:instrText>
      </w:r>
      <w:r>
        <w:fldChar w:fldCharType="separate"/>
      </w:r>
      <w:r>
        <w:rPr>
          <w:rStyle w:val="26"/>
          <w:rFonts w:hint="eastAsia"/>
          <w:color w:val="000000" w:themeColor="text1"/>
          <w14:textFill>
            <w14:solidFill>
              <w14:schemeClr w14:val="tx1"/>
            </w14:solidFill>
          </w14:textFill>
        </w:rPr>
        <w:t>第四部分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基金份额的发售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_Toc104716690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"_Toc104716691" </w:instrText>
      </w:r>
      <w:r>
        <w:fldChar w:fldCharType="separate"/>
      </w:r>
      <w:r>
        <w:rPr>
          <w:rStyle w:val="26"/>
          <w:rFonts w:hint="eastAsia"/>
          <w:color w:val="000000" w:themeColor="text1"/>
          <w14:textFill>
            <w14:solidFill>
              <w14:schemeClr w14:val="tx1"/>
            </w14:solidFill>
          </w14:textFill>
        </w:rPr>
        <w:t>第五部分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基金备案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_Toc104716691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"_Toc104716692" </w:instrText>
      </w:r>
      <w:r>
        <w:fldChar w:fldCharType="separate"/>
      </w:r>
      <w:r>
        <w:rPr>
          <w:rStyle w:val="26"/>
          <w:rFonts w:hint="eastAsia"/>
          <w:color w:val="000000" w:themeColor="text1"/>
          <w14:textFill>
            <w14:solidFill>
              <w14:schemeClr w14:val="tx1"/>
            </w14:solidFill>
          </w14:textFill>
        </w:rPr>
        <w:t>第六部分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基金份额折算与变更登记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_Toc104716692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"_Toc104716693" </w:instrText>
      </w:r>
      <w:r>
        <w:fldChar w:fldCharType="separate"/>
      </w:r>
      <w:r>
        <w:rPr>
          <w:rStyle w:val="26"/>
          <w:rFonts w:hint="eastAsia"/>
          <w:color w:val="000000" w:themeColor="text1"/>
          <w14:textFill>
            <w14:solidFill>
              <w14:schemeClr w14:val="tx1"/>
            </w14:solidFill>
          </w14:textFill>
        </w:rPr>
        <w:t>第七部分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基金份额的上市交易</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_Toc104716693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"_Toc104716694" </w:instrText>
      </w:r>
      <w:r>
        <w:fldChar w:fldCharType="separate"/>
      </w:r>
      <w:r>
        <w:rPr>
          <w:rStyle w:val="26"/>
          <w:rFonts w:hint="eastAsia"/>
          <w:color w:val="000000" w:themeColor="text1"/>
          <w14:textFill>
            <w14:solidFill>
              <w14:schemeClr w14:val="tx1"/>
            </w14:solidFill>
          </w14:textFill>
        </w:rPr>
        <w:t>第八部分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基金份额的申购与赎</w:t>
      </w:r>
      <w:bookmarkStart w:id="25" w:name="_Hlt177999699"/>
      <w:bookmarkStart w:id="26" w:name="_Hlt177999698"/>
      <w:r>
        <w:rPr>
          <w:rStyle w:val="26"/>
          <w:rFonts w:hint="eastAsia"/>
          <w:color w:val="000000" w:themeColor="text1"/>
          <w14:textFill>
            <w14:solidFill>
              <w14:schemeClr w14:val="tx1"/>
            </w14:solidFill>
          </w14:textFill>
        </w:rPr>
        <w:t>回</w:t>
      </w:r>
      <w:bookmarkEnd w:id="25"/>
      <w:bookmarkEnd w:id="26"/>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_Toc104716694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"_Toc104716695" </w:instrText>
      </w:r>
      <w:r>
        <w:fldChar w:fldCharType="separate"/>
      </w:r>
      <w:r>
        <w:rPr>
          <w:rStyle w:val="26"/>
          <w:rFonts w:hint="eastAsia"/>
          <w:color w:val="000000" w:themeColor="text1"/>
          <w14:textFill>
            <w14:solidFill>
              <w14:schemeClr w14:val="tx1"/>
            </w14:solidFill>
          </w14:textFill>
        </w:rPr>
        <w:t>第九部分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基金合同当事人及权利义务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_Toc104716695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"_Toc104716696" </w:instrText>
      </w:r>
      <w:r>
        <w:fldChar w:fldCharType="separate"/>
      </w:r>
      <w:r>
        <w:rPr>
          <w:rStyle w:val="26"/>
          <w:rFonts w:hint="eastAsia"/>
          <w:color w:val="000000" w:themeColor="text1"/>
          <w14:textFill>
            <w14:solidFill>
              <w14:schemeClr w14:val="tx1"/>
            </w14:solidFill>
          </w14:textFill>
        </w:rPr>
        <w:t>第十部分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基金份额持有人大会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_Toc104716696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"_Toc104716697" </w:instrText>
      </w:r>
      <w:r>
        <w:fldChar w:fldCharType="separate"/>
      </w:r>
      <w:r>
        <w:rPr>
          <w:rStyle w:val="26"/>
          <w:rFonts w:hint="eastAsia"/>
          <w:color w:val="000000" w:themeColor="text1"/>
          <w14:textFill>
            <w14:solidFill>
              <w14:schemeClr w14:val="tx1"/>
            </w14:solidFill>
          </w14:textFill>
        </w:rPr>
        <w:t>第十一部分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基金管理人、基金托管人的更换条</w:t>
      </w:r>
      <w:bookmarkStart w:id="27" w:name="_Hlt177991729"/>
      <w:r>
        <w:rPr>
          <w:rStyle w:val="26"/>
          <w:rFonts w:hint="eastAsia"/>
          <w:color w:val="000000" w:themeColor="text1"/>
          <w14:textFill>
            <w14:solidFill>
              <w14:schemeClr w14:val="tx1"/>
            </w14:solidFill>
          </w14:textFill>
        </w:rPr>
        <w:t>件</w:t>
      </w:r>
      <w:bookmarkEnd w:id="27"/>
      <w:r>
        <w:rPr>
          <w:rStyle w:val="26"/>
          <w:rFonts w:hint="eastAsia"/>
          <w:color w:val="000000" w:themeColor="text1"/>
          <w14:textFill>
            <w14:solidFill>
              <w14:schemeClr w14:val="tx1"/>
            </w14:solidFill>
          </w14:textFill>
        </w:rPr>
        <w:t>和程序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_Toc104716697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"_Toc104716698" </w:instrText>
      </w:r>
      <w:r>
        <w:fldChar w:fldCharType="separate"/>
      </w:r>
      <w:r>
        <w:rPr>
          <w:rStyle w:val="26"/>
          <w:rFonts w:hint="eastAsia"/>
          <w:color w:val="000000" w:themeColor="text1"/>
          <w14:textFill>
            <w14:solidFill>
              <w14:schemeClr w14:val="tx1"/>
            </w14:solidFill>
          </w14:textFill>
        </w:rPr>
        <w:t>第十二部分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基金的托管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_Toc104716698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"_Toc104716699" </w:instrText>
      </w:r>
      <w:r>
        <w:fldChar w:fldCharType="separate"/>
      </w:r>
      <w:r>
        <w:rPr>
          <w:rStyle w:val="26"/>
          <w:rFonts w:hint="eastAsia"/>
          <w:color w:val="000000" w:themeColor="text1"/>
          <w14:textFill>
            <w14:solidFill>
              <w14:schemeClr w14:val="tx1"/>
            </w14:solidFill>
          </w14:textFill>
        </w:rPr>
        <w:t>第十三部分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基金份额的登记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_Toc104716699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"_Toc104716700" </w:instrText>
      </w:r>
      <w:r>
        <w:fldChar w:fldCharType="separate"/>
      </w:r>
      <w:r>
        <w:rPr>
          <w:rStyle w:val="26"/>
          <w:rFonts w:hint="eastAsia"/>
          <w:color w:val="000000" w:themeColor="text1"/>
          <w14:textFill>
            <w14:solidFill>
              <w14:schemeClr w14:val="tx1"/>
            </w14:solidFill>
          </w14:textFill>
        </w:rPr>
        <w:t>第十四部分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基金的投资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_Toc104716700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"_Toc104716701" </w:instrText>
      </w:r>
      <w:r>
        <w:fldChar w:fldCharType="separate"/>
      </w:r>
      <w:r>
        <w:rPr>
          <w:rStyle w:val="26"/>
          <w:rFonts w:hint="eastAsia"/>
          <w:color w:val="000000" w:themeColor="text1"/>
          <w14:textFill>
            <w14:solidFill>
              <w14:schemeClr w14:val="tx1"/>
            </w14:solidFill>
          </w14:textFill>
        </w:rPr>
        <w:t>第十五部分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基金的财产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_Toc104716701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"_Toc104716702" </w:instrText>
      </w:r>
      <w:r>
        <w:fldChar w:fldCharType="separate"/>
      </w:r>
      <w:r>
        <w:rPr>
          <w:rStyle w:val="26"/>
          <w:rFonts w:hint="eastAsia"/>
          <w:color w:val="000000" w:themeColor="text1"/>
          <w14:textFill>
            <w14:solidFill>
              <w14:schemeClr w14:val="tx1"/>
            </w14:solidFill>
          </w14:textFill>
        </w:rPr>
        <w:t>第十六部分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基金资产估值</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_Toc104716702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"_Toc104716703" </w:instrText>
      </w:r>
      <w:r>
        <w:fldChar w:fldCharType="separate"/>
      </w:r>
      <w:r>
        <w:rPr>
          <w:rStyle w:val="26"/>
          <w:rFonts w:hint="eastAsia"/>
          <w:color w:val="000000" w:themeColor="text1"/>
          <w14:textFill>
            <w14:solidFill>
              <w14:schemeClr w14:val="tx1"/>
            </w14:solidFill>
          </w14:textFill>
        </w:rPr>
        <w:t>第十七部分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基金费用与税收</w:t>
      </w:r>
      <w:bookmarkStart w:id="28" w:name="_Hlt177991668"/>
      <w:r>
        <w:rPr>
          <w:color w:val="000000" w:themeColor="text1"/>
          <w14:textFill>
            <w14:solidFill>
              <w14:schemeClr w14:val="tx1"/>
            </w14:solidFill>
          </w14:textFill>
        </w:rPr>
        <w:tab/>
      </w:r>
      <w:bookmarkEnd w:id="28"/>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_Toc104716703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"_Toc104716704" </w:instrText>
      </w:r>
      <w:r>
        <w:fldChar w:fldCharType="separate"/>
      </w:r>
      <w:r>
        <w:rPr>
          <w:rStyle w:val="26"/>
          <w:rFonts w:hint="eastAsia"/>
          <w:color w:val="000000" w:themeColor="text1"/>
          <w14:textFill>
            <w14:solidFill>
              <w14:schemeClr w14:val="tx1"/>
            </w14:solidFill>
          </w14:textFill>
        </w:rPr>
        <w:t>第十八部分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基金的收益与</w:t>
      </w:r>
      <w:bookmarkStart w:id="29" w:name="_Hlt177989392"/>
      <w:r>
        <w:rPr>
          <w:rStyle w:val="26"/>
          <w:rFonts w:hint="eastAsia"/>
          <w:color w:val="000000" w:themeColor="text1"/>
          <w14:textFill>
            <w14:solidFill>
              <w14:schemeClr w14:val="tx1"/>
            </w14:solidFill>
          </w14:textFill>
        </w:rPr>
        <w:t>分</w:t>
      </w:r>
      <w:bookmarkEnd w:id="29"/>
      <w:r>
        <w:rPr>
          <w:rStyle w:val="26"/>
          <w:rFonts w:hint="eastAsia"/>
          <w:color w:val="000000" w:themeColor="text1"/>
          <w14:textFill>
            <w14:solidFill>
              <w14:schemeClr w14:val="tx1"/>
            </w14:solidFill>
          </w14:textFill>
        </w:rPr>
        <w:t>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_Toc104716704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"_Toc104716705" </w:instrText>
      </w:r>
      <w:r>
        <w:fldChar w:fldCharType="separate"/>
      </w:r>
      <w:r>
        <w:rPr>
          <w:rStyle w:val="26"/>
          <w:rFonts w:hint="eastAsia"/>
          <w:color w:val="000000" w:themeColor="text1"/>
          <w14:textFill>
            <w14:solidFill>
              <w14:schemeClr w14:val="tx1"/>
            </w14:solidFill>
          </w14:textFill>
        </w:rPr>
        <w:t>第十九部分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基金的会计与审计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_Toc104716705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"_Toc104716706" </w:instrText>
      </w:r>
      <w:r>
        <w:fldChar w:fldCharType="separate"/>
      </w:r>
      <w:r>
        <w:rPr>
          <w:rStyle w:val="26"/>
          <w:rFonts w:hint="eastAsia"/>
          <w:color w:val="000000" w:themeColor="text1"/>
          <w14:textFill>
            <w14:solidFill>
              <w14:schemeClr w14:val="tx1"/>
            </w14:solidFill>
          </w14:textFill>
        </w:rPr>
        <w:t>第二十部分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基金的信息披露</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_Toc104716706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"_Toc104716707" </w:instrText>
      </w:r>
      <w:r>
        <w:fldChar w:fldCharType="separate"/>
      </w:r>
      <w:r>
        <w:rPr>
          <w:rStyle w:val="26"/>
          <w:rFonts w:hint="eastAsia"/>
          <w:color w:val="000000" w:themeColor="text1"/>
          <w14:textFill>
            <w14:solidFill>
              <w14:schemeClr w14:val="tx1"/>
            </w14:solidFill>
          </w14:textFill>
        </w:rPr>
        <w:t>第二十一部分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基金合同的变更、终止与</w:t>
      </w:r>
      <w:bookmarkStart w:id="30" w:name="_Hlt177991846"/>
      <w:r>
        <w:rPr>
          <w:rStyle w:val="26"/>
          <w:rFonts w:hint="eastAsia"/>
          <w:color w:val="000000" w:themeColor="text1"/>
          <w14:textFill>
            <w14:solidFill>
              <w14:schemeClr w14:val="tx1"/>
            </w14:solidFill>
          </w14:textFill>
        </w:rPr>
        <w:t>基</w:t>
      </w:r>
      <w:bookmarkEnd w:id="30"/>
      <w:r>
        <w:rPr>
          <w:rStyle w:val="26"/>
          <w:rFonts w:hint="eastAsia"/>
          <w:color w:val="000000" w:themeColor="text1"/>
          <w14:textFill>
            <w14:solidFill>
              <w14:schemeClr w14:val="tx1"/>
            </w14:solidFill>
          </w14:textFill>
        </w:rPr>
        <w:t>金财产的清算</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_Toc104716707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"_Toc104716708" </w:instrText>
      </w:r>
      <w:r>
        <w:fldChar w:fldCharType="separate"/>
      </w:r>
      <w:r>
        <w:rPr>
          <w:rStyle w:val="26"/>
          <w:rFonts w:hint="eastAsia"/>
          <w:color w:val="000000" w:themeColor="text1"/>
          <w14:textFill>
            <w14:solidFill>
              <w14:schemeClr w14:val="tx1"/>
            </w14:solidFill>
          </w14:textFill>
        </w:rPr>
        <w:t>第二十二部分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违约责任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_Toc104716708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"_Toc104716709" </w:instrText>
      </w:r>
      <w:r>
        <w:fldChar w:fldCharType="separate"/>
      </w:r>
      <w:r>
        <w:rPr>
          <w:rStyle w:val="26"/>
          <w:rFonts w:hint="eastAsia"/>
          <w:color w:val="000000" w:themeColor="text1"/>
          <w14:textFill>
            <w14:solidFill>
              <w14:schemeClr w14:val="tx1"/>
            </w14:solidFill>
          </w14:textFill>
        </w:rPr>
        <w:t>第二十三部分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争议的处理和适用的法律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_Toc104716709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"_Toc104716710" </w:instrText>
      </w:r>
      <w:r>
        <w:fldChar w:fldCharType="separate"/>
      </w:r>
      <w:r>
        <w:rPr>
          <w:rStyle w:val="26"/>
          <w:rFonts w:hint="eastAsia"/>
          <w:color w:val="000000" w:themeColor="text1"/>
          <w14:textFill>
            <w14:solidFill>
              <w14:schemeClr w14:val="tx1"/>
            </w14:solidFill>
          </w14:textFill>
        </w:rPr>
        <w:t>第二十四部分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基金合同的效力</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_Toc104716710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rPr>
          <w:rFonts w:ascii="Calibri" w:hAnsi="Calibri"/>
          <w:color w:val="000000" w:themeColor="text1"/>
          <w:szCs w:val="22"/>
          <w14:textFill>
            <w14:solidFill>
              <w14:schemeClr w14:val="tx1"/>
            </w14:solidFill>
          </w14:textFill>
        </w:rPr>
      </w:pPr>
      <w:r>
        <w:fldChar w:fldCharType="begin"/>
      </w:r>
      <w:r>
        <w:instrText xml:space="preserve"> HYPERLINK \l "_Toc104716711" </w:instrText>
      </w:r>
      <w:r>
        <w:fldChar w:fldCharType="separate"/>
      </w:r>
      <w:r>
        <w:rPr>
          <w:rStyle w:val="26"/>
          <w:rFonts w:hint="eastAsia"/>
          <w:color w:val="000000" w:themeColor="text1"/>
          <w14:textFill>
            <w14:solidFill>
              <w14:schemeClr w14:val="tx1"/>
            </w14:solidFill>
          </w14:textFill>
        </w:rPr>
        <w:t>第二十五部分</w:t>
      </w:r>
      <w:r>
        <w:rPr>
          <w:rStyle w:val="26"/>
          <w:color w:val="000000" w:themeColor="text1"/>
          <w14:textFill>
            <w14:solidFill>
              <w14:schemeClr w14:val="tx1"/>
            </w14:solidFill>
          </w14:textFill>
        </w:rPr>
        <w:t xml:space="preserve">  </w:t>
      </w:r>
      <w:r>
        <w:rPr>
          <w:rStyle w:val="26"/>
          <w:rFonts w:hint="eastAsia"/>
          <w:color w:val="000000" w:themeColor="text1"/>
          <w14:textFill>
            <w14:solidFill>
              <w14:schemeClr w14:val="tx1"/>
            </w14:solidFill>
          </w14:textFill>
        </w:rPr>
        <w:t>其他事项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_Toc104716711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
        <w:spacing w:before="0" w:after="0"/>
        <w:jc w:val="left"/>
        <w:rPr>
          <w:rFonts w:ascii="Times New Roman"/>
          <w:b w:val="0"/>
          <w:bCs/>
          <w:color w:val="000000" w:themeColor="text1"/>
          <w:kern w:val="2"/>
          <w14:textFill>
            <w14:solidFill>
              <w14:schemeClr w14:val="tx1"/>
            </w14:solidFill>
          </w14:textFill>
        </w:rPr>
        <w:sectPr>
          <w:headerReference r:id="rId6" w:type="default"/>
          <w:pgSz w:w="11906" w:h="16838"/>
          <w:pgMar w:top="1440" w:right="1800" w:bottom="1440" w:left="1800" w:header="851" w:footer="992" w:gutter="0"/>
          <w:pgNumType w:start="1"/>
          <w:cols w:space="720" w:num="1"/>
          <w:docGrid w:type="lines" w:linePitch="312" w:charSpace="0"/>
        </w:sectPr>
      </w:pPr>
      <w:r>
        <w:rPr>
          <w:rFonts w:ascii="Times New Roman"/>
          <w:b w:val="0"/>
          <w:bCs/>
          <w:color w:val="000000" w:themeColor="text1"/>
          <w:kern w:val="2"/>
          <w14:textFill>
            <w14:solidFill>
              <w14:schemeClr w14:val="tx1"/>
            </w14:solidFill>
          </w14:textFill>
        </w:rPr>
        <w:fldChar w:fldCharType="end"/>
      </w:r>
      <w:bookmarkStart w:id="31" w:name="_Toc15517"/>
      <w:bookmarkStart w:id="32" w:name="_Toc23386"/>
      <w:bookmarkStart w:id="33" w:name="_Toc32639"/>
      <w:bookmarkStart w:id="34" w:name="_Toc6306"/>
      <w:bookmarkStart w:id="35" w:name="_Toc26897"/>
      <w:bookmarkStart w:id="36" w:name="_Toc29629"/>
      <w:bookmarkStart w:id="37" w:name="_Toc4966"/>
      <w:bookmarkStart w:id="38" w:name="_Toc30935"/>
      <w:bookmarkStart w:id="39" w:name="_Toc139991730"/>
      <w:bookmarkStart w:id="40" w:name="_Toc141703880"/>
      <w:bookmarkStart w:id="41" w:name="_Toc8727"/>
      <w:bookmarkStart w:id="42" w:name="_Toc4867"/>
      <w:bookmarkStart w:id="43" w:name="_Toc123112229"/>
      <w:bookmarkStart w:id="44" w:name="_Toc123701389"/>
      <w:bookmarkStart w:id="45" w:name="_Toc123112268"/>
      <w:bookmarkStart w:id="46" w:name="_Toc233456271"/>
    </w:p>
    <w:p>
      <w:pPr>
        <w:pStyle w:val="2"/>
        <w:spacing w:before="0" w:after="0"/>
        <w:jc w:val="center"/>
        <w:rPr>
          <w:rFonts w:ascii="Times New Roman"/>
          <w:color w:val="000000" w:themeColor="text1"/>
          <w:sz w:val="30"/>
          <w14:textFill>
            <w14:solidFill>
              <w14:schemeClr w14:val="tx1"/>
            </w14:solidFill>
          </w14:textFill>
        </w:rPr>
      </w:pPr>
      <w:bookmarkStart w:id="47" w:name="_Toc104716687"/>
      <w:r>
        <w:rPr>
          <w:rFonts w:ascii="Times New Roman"/>
          <w:color w:val="000000" w:themeColor="text1"/>
          <w:sz w:val="30"/>
          <w14:textFill>
            <w14:solidFill>
              <w14:schemeClr w14:val="tx1"/>
            </w14:solidFill>
          </w14:textFill>
        </w:rPr>
        <w:t>第一部分  前言</w:t>
      </w:r>
      <w:bookmarkEnd w:id="31"/>
      <w:bookmarkEnd w:id="32"/>
      <w:bookmarkEnd w:id="33"/>
      <w:bookmarkEnd w:id="34"/>
      <w:bookmarkEnd w:id="35"/>
      <w:bookmarkEnd w:id="36"/>
      <w:bookmarkEnd w:id="37"/>
      <w:bookmarkEnd w:id="38"/>
      <w:bookmarkEnd w:id="39"/>
      <w:bookmarkEnd w:id="40"/>
      <w:bookmarkEnd w:id="41"/>
      <w:bookmarkEnd w:id="42"/>
      <w:bookmarkEnd w:id="47"/>
    </w:p>
    <w:p>
      <w:pPr>
        <w:rPr>
          <w:bCs/>
          <w:color w:val="000000" w:themeColor="text1"/>
          <w14:textFill>
            <w14:solidFill>
              <w14:schemeClr w14:val="tx1"/>
            </w14:solidFill>
          </w14:textFill>
        </w:rPr>
      </w:pPr>
      <w:bookmarkStart w:id="48" w:name="_Toc139991731"/>
    </w:p>
    <w:bookmarkEnd w:id="43"/>
    <w:bookmarkEnd w:id="44"/>
    <w:bookmarkEnd w:id="45"/>
    <w:bookmarkEnd w:id="48"/>
    <w:p>
      <w:pPr>
        <w:spacing w:line="360" w:lineRule="auto"/>
        <w:ind w:firstLine="480" w:firstLineChars="200"/>
        <w:rPr>
          <w:bCs/>
          <w:color w:val="000000" w:themeColor="text1"/>
          <w:sz w:val="24"/>
          <w14:textFill>
            <w14:solidFill>
              <w14:schemeClr w14:val="tx1"/>
            </w14:solidFill>
          </w14:textFill>
        </w:rPr>
      </w:pPr>
      <w:bookmarkStart w:id="49" w:name="_Toc258829399"/>
      <w:r>
        <w:rPr>
          <w:rFonts w:hint="eastAsia"/>
          <w:bCs/>
          <w:color w:val="000000" w:themeColor="text1"/>
          <w:sz w:val="24"/>
          <w14:textFill>
            <w14:solidFill>
              <w14:schemeClr w14:val="tx1"/>
            </w14:solidFill>
          </w14:textFill>
        </w:rPr>
        <w:t>一、</w:t>
      </w:r>
      <w:r>
        <w:rPr>
          <w:bCs/>
          <w:color w:val="000000" w:themeColor="text1"/>
          <w:sz w:val="24"/>
          <w14:textFill>
            <w14:solidFill>
              <w14:schemeClr w14:val="tx1"/>
            </w14:solidFill>
          </w14:textFill>
        </w:rPr>
        <w:t>订立本基金合同的目的、依据和原则</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订立本基金合同的目的是保护投资人合法权益，明确基金合同当事人的权利义务，规范基金运作。</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订立本基金合同的依据是《中华人民共和国</w:t>
      </w:r>
      <w:r>
        <w:rPr>
          <w:rFonts w:hint="eastAsia"/>
          <w:bCs/>
          <w:color w:val="000000" w:themeColor="text1"/>
          <w:sz w:val="24"/>
          <w14:textFill>
            <w14:solidFill>
              <w14:schemeClr w14:val="tx1"/>
            </w14:solidFill>
          </w14:textFill>
        </w:rPr>
        <w:t>民法典</w:t>
      </w:r>
      <w:r>
        <w:rPr>
          <w:bCs/>
          <w:color w:val="000000" w:themeColor="text1"/>
          <w:sz w:val="24"/>
          <w14:textFill>
            <w14:solidFill>
              <w14:schemeClr w14:val="tx1"/>
            </w14:solidFill>
          </w14:textFill>
        </w:rPr>
        <w:t>》、《中华人民共和国证券投资基金法》</w: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以下简称“《基金法》”</w: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公开募集</w:t>
      </w:r>
      <w:r>
        <w:rPr>
          <w:bCs/>
          <w:color w:val="000000" w:themeColor="text1"/>
          <w:sz w:val="24"/>
          <w14:textFill>
            <w14:solidFill>
              <w14:schemeClr w14:val="tx1"/>
            </w14:solidFill>
          </w14:textFill>
        </w:rPr>
        <w:t>证券投资基金运作管理办法》</w: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以下简称“《运作办法》”</w:t>
      </w:r>
      <w:r>
        <w:rPr>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、《公开募集证券投资基金销售机构监督管理办法》</w: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以下简称“《销售办法》”</w:t>
      </w:r>
      <w:r>
        <w:rPr>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公开募集</w:t>
      </w:r>
      <w:r>
        <w:rPr>
          <w:bCs/>
          <w:color w:val="000000" w:themeColor="text1"/>
          <w:sz w:val="24"/>
          <w14:textFill>
            <w14:solidFill>
              <w14:schemeClr w14:val="tx1"/>
            </w14:solidFill>
          </w14:textFill>
        </w:rPr>
        <w:t>证券投资基金信息披露管理办法》</w: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以下简称“《信息披露办法》”</w:t>
      </w:r>
      <w:r>
        <w:rPr>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w:t>
      </w:r>
      <w:r>
        <w:rPr>
          <w:color w:val="000000" w:themeColor="text1"/>
          <w:sz w:val="24"/>
          <w14:textFill>
            <w14:solidFill>
              <w14:schemeClr w14:val="tx1"/>
            </w14:solidFill>
          </w14:textFill>
        </w:rPr>
        <w:t>《公开募集开放式证券投资基金流动性风险管理规定》（以下简称“《流动性风险</w:t>
      </w:r>
      <w:r>
        <w:rPr>
          <w:rFonts w:hint="eastAsia"/>
          <w:color w:val="000000" w:themeColor="text1"/>
          <w:sz w:val="24"/>
          <w14:textFill>
            <w14:solidFill>
              <w14:schemeClr w14:val="tx1"/>
            </w14:solidFill>
          </w14:textFill>
        </w:rPr>
        <w:t>管理</w:t>
      </w:r>
      <w:r>
        <w:rPr>
          <w:color w:val="000000" w:themeColor="text1"/>
          <w:sz w:val="24"/>
          <w14:textFill>
            <w14:solidFill>
              <w14:schemeClr w14:val="tx1"/>
            </w14:solidFill>
          </w14:textFill>
        </w:rPr>
        <w:t>规定》”）</w:t>
      </w:r>
      <w:r>
        <w:rPr>
          <w:rFonts w:hint="eastAsia"/>
          <w:bCs/>
          <w:color w:val="000000" w:themeColor="text1"/>
          <w:sz w:val="24"/>
          <w14:textFill>
            <w14:solidFill>
              <w14:schemeClr w14:val="tx1"/>
            </w14:solidFill>
          </w14:textFill>
        </w:rPr>
        <w:t>、《公开募集证券投资基金运作指引第3号——指数基金指引》（以下简称“《指数基金指引》”）</w:t>
      </w:r>
      <w:r>
        <w:rPr>
          <w:bCs/>
          <w:color w:val="000000" w:themeColor="text1"/>
          <w:sz w:val="24"/>
          <w14:textFill>
            <w14:solidFill>
              <w14:schemeClr w14:val="tx1"/>
            </w14:solidFill>
          </w14:textFill>
        </w:rPr>
        <w:t>和其他有关法律法规。</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订立本基金合同的原则是平等自愿、诚实信用、充分保护投资人合法权益。</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w:t>
      </w:r>
      <w:r>
        <w:rPr>
          <w:bCs/>
          <w:color w:val="000000" w:themeColor="text1"/>
          <w:sz w:val="24"/>
          <w14:textFill>
            <w14:solidFill>
              <w14:schemeClr w14:val="tx1"/>
            </w14:solidFill>
          </w14:textFill>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pPr>
        <w:spacing w:line="360" w:lineRule="auto"/>
        <w:ind w:firstLine="480" w:firstLineChars="200"/>
        <w:rPr>
          <w:bCs/>
          <w:color w:val="000000" w:themeColor="text1"/>
          <w14:textFill>
            <w14:solidFill>
              <w14:schemeClr w14:val="tx1"/>
            </w14:solidFill>
          </w14:textFill>
        </w:rPr>
      </w:pPr>
      <w:r>
        <w:rPr>
          <w:bCs/>
          <w:color w:val="000000" w:themeColor="text1"/>
          <w:sz w:val="24"/>
          <w14:textFill>
            <w14:solidFill>
              <w14:schemeClr w14:val="tx1"/>
            </w14:solidFill>
          </w14:textFill>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三、大成中证AAA科技创新公司债交易型开放式指数证券投资基金</w:t>
      </w:r>
      <w:r>
        <w:rPr>
          <w:bCs/>
          <w:color w:val="000000" w:themeColor="text1"/>
          <w:sz w:val="24"/>
          <w14:textFill>
            <w14:solidFill>
              <w14:schemeClr w14:val="tx1"/>
            </w14:solidFill>
          </w14:textFill>
        </w:rPr>
        <w:t>由基金管理人依照《基金法》、基金合同及其他有关规定募集，并经中国证券监督管理委员会</w: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以下简称“中国证监会”</w:t>
      </w:r>
      <w:r>
        <w:rPr>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注册</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中国证监会对本基金募集的</w:t>
      </w:r>
      <w:r>
        <w:rPr>
          <w:rFonts w:hint="eastAsia"/>
          <w:bCs/>
          <w:color w:val="000000" w:themeColor="text1"/>
          <w:sz w:val="24"/>
          <w14:textFill>
            <w14:solidFill>
              <w14:schemeClr w14:val="tx1"/>
            </w14:solidFill>
          </w14:textFill>
        </w:rPr>
        <w:t>注册</w:t>
      </w:r>
      <w:r>
        <w:rPr>
          <w:bCs/>
          <w:color w:val="000000" w:themeColor="text1"/>
          <w:sz w:val="24"/>
          <w14:textFill>
            <w14:solidFill>
              <w14:schemeClr w14:val="tx1"/>
            </w14:solidFill>
          </w14:textFill>
        </w:rPr>
        <w:t>，并不表明其对本基金的</w:t>
      </w:r>
      <w:r>
        <w:rPr>
          <w:rFonts w:hint="eastAsia"/>
          <w:bCs/>
          <w:color w:val="000000" w:themeColor="text1"/>
          <w:sz w:val="24"/>
          <w14:textFill>
            <w14:solidFill>
              <w14:schemeClr w14:val="tx1"/>
            </w14:solidFill>
          </w14:textFill>
        </w:rPr>
        <w:t>投资</w:t>
      </w:r>
      <w:r>
        <w:rPr>
          <w:bCs/>
          <w:color w:val="000000" w:themeColor="text1"/>
          <w:sz w:val="24"/>
          <w14:textFill>
            <w14:solidFill>
              <w14:schemeClr w14:val="tx1"/>
            </w14:solidFill>
          </w14:textFill>
        </w:rPr>
        <w:t>价值和</w:t>
      </w:r>
      <w:r>
        <w:rPr>
          <w:rFonts w:hint="eastAsia"/>
          <w:bCs/>
          <w:color w:val="000000" w:themeColor="text1"/>
          <w:sz w:val="24"/>
          <w14:textFill>
            <w14:solidFill>
              <w14:schemeClr w14:val="tx1"/>
            </w14:solidFill>
          </w14:textFill>
        </w:rPr>
        <w:t>市场前景</w:t>
      </w:r>
      <w:r>
        <w:rPr>
          <w:bCs/>
          <w:color w:val="000000" w:themeColor="text1"/>
          <w:sz w:val="24"/>
          <w14:textFill>
            <w14:solidFill>
              <w14:schemeClr w14:val="tx1"/>
            </w14:solidFill>
          </w14:textFill>
        </w:rPr>
        <w:t>做出实质性判断或保证，也不表明投资于本基金没有风险。</w:t>
      </w:r>
    </w:p>
    <w:p>
      <w:pPr>
        <w:spacing w:line="360" w:lineRule="auto"/>
        <w:ind w:firstLine="480" w:firstLineChars="200"/>
        <w:rPr>
          <w:color w:val="000000" w:themeColor="text1"/>
          <w14:textFill>
            <w14:solidFill>
              <w14:schemeClr w14:val="tx1"/>
            </w14:solidFill>
          </w14:textFill>
        </w:rPr>
      </w:pPr>
      <w:r>
        <w:rPr>
          <w:bCs/>
          <w:color w:val="000000" w:themeColor="text1"/>
          <w:sz w:val="24"/>
          <w14:textFill>
            <w14:solidFill>
              <w14:schemeClr w14:val="tx1"/>
            </w14:solidFill>
          </w14:textFill>
        </w:rPr>
        <w:t>基金管理人依照恪尽职守、诚实信用、谨慎勤勉的原则管理和运用基金财产，但不保证投资于本基金一定盈利，也不保证最低收益。</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投资者应当认真阅读基金招募说明书、基金合同</w:t>
      </w:r>
      <w:r>
        <w:rPr>
          <w:rFonts w:hint="eastAsia"/>
          <w:color w:val="000000" w:themeColor="text1"/>
          <w:sz w:val="24"/>
          <w14:textFill>
            <w14:solidFill>
              <w14:schemeClr w14:val="tx1"/>
            </w14:solidFill>
          </w14:textFill>
        </w:rPr>
        <w:t>、基金产品资料概要</w:t>
      </w:r>
      <w:r>
        <w:rPr>
          <w:color w:val="000000" w:themeColor="text1"/>
          <w:sz w:val="24"/>
          <w14:textFill>
            <w14:solidFill>
              <w14:schemeClr w14:val="tx1"/>
            </w14:solidFill>
          </w14:textFill>
        </w:rPr>
        <w:t>等信息披露文件，自主判断基金的投资价值，自主做出投资决策，自行承担投资风险。</w:t>
      </w:r>
    </w:p>
    <w:p>
      <w:pPr>
        <w:numPr>
          <w:ilvl w:val="0"/>
          <w:numId w:val="2"/>
        </w:num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基金管理人、基金托管人在本基金合同之外披露涉及本基金的信息，其内容涉及界定基金合同当事人之间权利义务关系的，如与基金合同有冲突，以基金合同为准。</w:t>
      </w:r>
    </w:p>
    <w:p>
      <w:pPr>
        <w:spacing w:line="360" w:lineRule="auto"/>
        <w:ind w:firstLine="48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五、本基金按照中国法律法规成立并运作，若</w:t>
      </w:r>
      <w:r>
        <w:rPr>
          <w:bCs/>
          <w:color w:val="000000" w:themeColor="text1"/>
          <w:sz w:val="24"/>
          <w14:textFill>
            <w14:solidFill>
              <w14:schemeClr w14:val="tx1"/>
            </w14:solidFill>
          </w14:textFill>
        </w:rPr>
        <w:t>基金合同的内容与届时有效的法律法规的强制性规定不一致，应当以届时有效的法律法规的规定为准。</w:t>
      </w:r>
    </w:p>
    <w:p>
      <w:pPr>
        <w:spacing w:line="360" w:lineRule="auto"/>
        <w:ind w:firstLine="48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六、本基金为指数基金，投资者投资于本基金面临跟踪误差控制未达约定目标、指数编制机构停止服务、成份券停牌或违约等潜在风险，详见本基金招募说明书。</w:t>
      </w:r>
    </w:p>
    <w:p>
      <w:pPr>
        <w:spacing w:line="360" w:lineRule="auto"/>
        <w:ind w:firstLine="48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七</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本基金可能投资于信用衍生品，信用衍生品的投资可能面临流动性风险、偿付风险以及价格波动风险等。</w:t>
      </w:r>
    </w:p>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kern w:val="44"/>
          <w:sz w:val="21"/>
          <w14:textFill>
            <w14:solidFill>
              <w14:schemeClr w14:val="tx1"/>
            </w14:solidFill>
          </w14:textFill>
        </w:rPr>
        <w:br w:type="page"/>
      </w:r>
      <w:bookmarkStart w:id="50" w:name="_Toc104716688"/>
      <w:bookmarkStart w:id="51" w:name="_Toc22864"/>
      <w:bookmarkStart w:id="52" w:name="_Toc13020"/>
      <w:bookmarkStart w:id="53" w:name="_Toc24860"/>
      <w:bookmarkStart w:id="54" w:name="_Toc19592"/>
      <w:bookmarkStart w:id="55" w:name="_Toc21301"/>
      <w:bookmarkStart w:id="56" w:name="_Toc819"/>
      <w:bookmarkStart w:id="57" w:name="_Toc15067"/>
      <w:bookmarkStart w:id="58" w:name="_Toc2465"/>
      <w:bookmarkStart w:id="59" w:name="_Toc3224"/>
      <w:bookmarkStart w:id="60" w:name="_Toc6617"/>
      <w:r>
        <w:rPr>
          <w:rFonts w:ascii="Times New Roman"/>
          <w:color w:val="000000" w:themeColor="text1"/>
          <w:sz w:val="30"/>
          <w14:textFill>
            <w14:solidFill>
              <w14:schemeClr w14:val="tx1"/>
            </w14:solidFill>
          </w14:textFill>
        </w:rPr>
        <w:t>第二部分 释义</w:t>
      </w:r>
      <w:bookmarkEnd w:id="46"/>
      <w:bookmarkEnd w:id="49"/>
      <w:bookmarkEnd w:id="50"/>
      <w:bookmarkEnd w:id="51"/>
      <w:bookmarkEnd w:id="52"/>
      <w:bookmarkEnd w:id="53"/>
      <w:bookmarkEnd w:id="54"/>
      <w:bookmarkEnd w:id="55"/>
      <w:bookmarkEnd w:id="56"/>
      <w:bookmarkEnd w:id="57"/>
      <w:bookmarkEnd w:id="58"/>
      <w:bookmarkEnd w:id="59"/>
      <w:bookmarkEnd w:id="60"/>
    </w:p>
    <w:p>
      <w:pPr>
        <w:autoSpaceDE w:val="0"/>
        <w:autoSpaceDN w:val="0"/>
        <w:adjustRightInd w:val="0"/>
        <w:spacing w:line="360" w:lineRule="auto"/>
        <w:ind w:firstLine="420" w:firstLineChars="200"/>
        <w:rPr>
          <w:bCs/>
          <w:color w:val="000000" w:themeColor="text1"/>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在本基金合同中，除非文意另有所指，下列词语或简称具有如下含义：</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基金或本基金：指</w:t>
      </w:r>
      <w:r>
        <w:rPr>
          <w:rFonts w:hint="eastAsia"/>
          <w:bCs/>
          <w:color w:val="000000" w:themeColor="text1"/>
          <w:sz w:val="24"/>
          <w14:textFill>
            <w14:solidFill>
              <w14:schemeClr w14:val="tx1"/>
            </w14:solidFill>
          </w14:textFill>
        </w:rPr>
        <w:t>大成中证AAA科技创新公司债交易型开放式指数证券投资基金</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基金管理人：指</w:t>
      </w:r>
      <w:r>
        <w:rPr>
          <w:rFonts w:hint="eastAsia"/>
          <w:bCs/>
          <w:color w:val="000000" w:themeColor="text1"/>
          <w:sz w:val="24"/>
          <w14:textFill>
            <w14:solidFill>
              <w14:schemeClr w14:val="tx1"/>
            </w14:solidFill>
          </w14:textFill>
        </w:rPr>
        <w:t>大成基金管理有限公司</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基金托管人：指</w:t>
      </w:r>
      <w:r>
        <w:rPr>
          <w:rFonts w:hint="eastAsia"/>
          <w:bCs/>
          <w:color w:val="000000" w:themeColor="text1"/>
          <w:sz w:val="24"/>
          <w14:textFill>
            <w14:solidFill>
              <w14:schemeClr w14:val="tx1"/>
            </w14:solidFill>
          </w14:textFill>
        </w:rPr>
        <w:t>中国建设银行股份有限公司</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基金合同或本基金合同：指《</w:t>
      </w:r>
      <w:r>
        <w:rPr>
          <w:rFonts w:hint="eastAsia"/>
          <w:bCs/>
          <w:color w:val="000000" w:themeColor="text1"/>
          <w:sz w:val="24"/>
          <w14:textFill>
            <w14:solidFill>
              <w14:schemeClr w14:val="tx1"/>
            </w14:solidFill>
          </w14:textFill>
        </w:rPr>
        <w:t>大成中证AAA科技创新公司债交易型开放式指数证券投资基金</w:t>
      </w:r>
      <w:r>
        <w:rPr>
          <w:bCs/>
          <w:color w:val="000000" w:themeColor="text1"/>
          <w:sz w:val="24"/>
          <w14:textFill>
            <w14:solidFill>
              <w14:schemeClr w14:val="tx1"/>
            </w14:solidFill>
          </w14:textFill>
        </w:rPr>
        <w:t>基金合同》及对基金合同的任何有效修订和补充</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托管协议：指基金管理人与基金托管人就本基金签订之《</w:t>
      </w:r>
      <w:r>
        <w:rPr>
          <w:rFonts w:hint="eastAsia"/>
          <w:bCs/>
          <w:color w:val="000000" w:themeColor="text1"/>
          <w:sz w:val="24"/>
          <w14:textFill>
            <w14:solidFill>
              <w14:schemeClr w14:val="tx1"/>
            </w14:solidFill>
          </w14:textFill>
        </w:rPr>
        <w:t>大成中证AAA科技创新公司债交易型开放式指数证券投资基金</w:t>
      </w:r>
      <w:r>
        <w:rPr>
          <w:bCs/>
          <w:color w:val="000000" w:themeColor="text1"/>
          <w:sz w:val="24"/>
          <w14:textFill>
            <w14:solidFill>
              <w14:schemeClr w14:val="tx1"/>
            </w14:solidFill>
          </w14:textFill>
        </w:rPr>
        <w:t>托管协议》及对该托管协议的任何有效修订和补充</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招募说明书：指《</w:t>
      </w:r>
      <w:r>
        <w:rPr>
          <w:rFonts w:hint="eastAsia"/>
          <w:bCs/>
          <w:color w:val="000000" w:themeColor="text1"/>
          <w:sz w:val="24"/>
          <w14:textFill>
            <w14:solidFill>
              <w14:schemeClr w14:val="tx1"/>
            </w14:solidFill>
          </w14:textFill>
        </w:rPr>
        <w:t>大成中证AAA科技创新公司债交易型开放式指数证券投资基金</w:t>
      </w:r>
      <w:r>
        <w:rPr>
          <w:bCs/>
          <w:color w:val="000000" w:themeColor="text1"/>
          <w:sz w:val="24"/>
          <w14:textFill>
            <w14:solidFill>
              <w14:schemeClr w14:val="tx1"/>
            </w14:solidFill>
          </w14:textFill>
        </w:rPr>
        <w:t>招募说明书》及其更新</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基金份额发售公告：指《</w:t>
      </w:r>
      <w:r>
        <w:rPr>
          <w:rFonts w:hint="eastAsia"/>
          <w:bCs/>
          <w:color w:val="000000" w:themeColor="text1"/>
          <w:sz w:val="24"/>
          <w14:textFill>
            <w14:solidFill>
              <w14:schemeClr w14:val="tx1"/>
            </w14:solidFill>
          </w14:textFill>
        </w:rPr>
        <w:t>大成中证AAA科技创新公司债交易型开放式指数证券投资基金</w:t>
      </w:r>
      <w:r>
        <w:rPr>
          <w:bCs/>
          <w:color w:val="000000" w:themeColor="text1"/>
          <w:sz w:val="24"/>
          <w14:textFill>
            <w14:solidFill>
              <w14:schemeClr w14:val="tx1"/>
            </w14:solidFill>
          </w14:textFill>
        </w:rPr>
        <w:t>基金份额发售公告》</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8、基金产品资料概要：指《大成中证AAA科技创新公司债交易型开放式指数证券投资基金基金产品资料概要》及其更新</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9</w:t>
      </w:r>
      <w:r>
        <w:rPr>
          <w:rFonts w:hint="eastAsia"/>
          <w:bCs/>
          <w:color w:val="000000" w:themeColor="text1"/>
          <w:sz w:val="24"/>
          <w14:textFill>
            <w14:solidFill>
              <w14:schemeClr w14:val="tx1"/>
            </w14:solidFill>
          </w14:textFill>
        </w:rPr>
        <w:t>、上市交易公告书：指《大成中证AAA科技创新公司债交易型开放式指数证券投资基金上市交易公告书》</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10</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法律法规：指中国现行有效并公布实施的法律、行政法规、规范性文件、司法解释、行政规章以及其他对基金合同当事人有约束力的决定、决议、通知等</w:t>
      </w:r>
    </w:p>
    <w:p>
      <w:pPr>
        <w:spacing w:line="360" w:lineRule="auto"/>
        <w:ind w:firstLine="480" w:firstLineChars="200"/>
        <w:rPr>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w:t>
      </w:r>
      <w:r>
        <w:rPr>
          <w:rFonts w:hint="eastAsia"/>
          <w:color w:val="000000" w:themeColor="text1"/>
          <w:sz w:val="24"/>
          <w14:textFill>
            <w14:solidFill>
              <w14:schemeClr w14:val="tx1"/>
            </w14:solidFill>
          </w14:textFill>
        </w:rPr>
        <w:t>正</w:t>
      </w:r>
      <w:r>
        <w:rPr>
          <w:color w:val="000000" w:themeColor="text1"/>
          <w:sz w:val="24"/>
          <w14:textFill>
            <w14:solidFill>
              <w14:schemeClr w14:val="tx1"/>
            </w14:solidFill>
          </w14:textFill>
        </w:rPr>
        <w:t>的《中华人民共和国证券投资基金法》及颁布机关对其不时做出的修订</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12</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《销售办法》：</w:t>
      </w:r>
      <w:r>
        <w:rPr>
          <w:rFonts w:hint="eastAsia"/>
          <w:bCs/>
          <w:color w:val="000000" w:themeColor="text1"/>
          <w:sz w:val="24"/>
          <w14:textFill>
            <w14:solidFill>
              <w14:schemeClr w14:val="tx1"/>
            </w14:solidFill>
          </w14:textFill>
        </w:rPr>
        <w:t>指中国证监会2020年8月28日颁布、同年10月1日实施的《公开募集证券投资基金销售机构监督管理办法》及颁布机关对其不时做出的修订</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13</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《信息披露办法》：</w:t>
      </w:r>
      <w:r>
        <w:rPr>
          <w:rFonts w:hint="eastAsia"/>
          <w:bCs/>
          <w:color w:val="000000" w:themeColor="text1"/>
          <w:sz w:val="24"/>
          <w14:textFill>
            <w14:solidFill>
              <w14:schemeClr w14:val="tx1"/>
            </w14:solidFill>
          </w14:textFill>
        </w:rPr>
        <w:t>指中国证监会2019年7月26日颁布、同年9月1日实施的，并经2020年3月20日中国证监会《关于修改部分证券期货规章的决定》修正的《公开募集证券投资基金信息披露管理办法》及颁布机关对其不时做出的修订</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14</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《运作办法》：指中国证监会20</w:t>
      </w: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4年</w:t>
      </w:r>
      <w:r>
        <w:rPr>
          <w:rFonts w:hint="eastAsia"/>
          <w:bCs/>
          <w:color w:val="000000" w:themeColor="text1"/>
          <w:sz w:val="24"/>
          <w14:textFill>
            <w14:solidFill>
              <w14:schemeClr w14:val="tx1"/>
            </w14:solidFill>
          </w14:textFill>
        </w:rPr>
        <w:t>7</w:t>
      </w:r>
      <w:r>
        <w:rPr>
          <w:bCs/>
          <w:color w:val="000000" w:themeColor="text1"/>
          <w:sz w:val="24"/>
          <w14:textFill>
            <w14:solidFill>
              <w14:schemeClr w14:val="tx1"/>
            </w14:solidFill>
          </w14:textFill>
        </w:rPr>
        <w:t>月</w:t>
      </w:r>
      <w:r>
        <w:rPr>
          <w:rFonts w:hint="eastAsia"/>
          <w:bCs/>
          <w:color w:val="000000" w:themeColor="text1"/>
          <w:sz w:val="24"/>
          <w14:textFill>
            <w14:solidFill>
              <w14:schemeClr w14:val="tx1"/>
            </w14:solidFill>
          </w14:textFill>
        </w:rPr>
        <w:t>7</w:t>
      </w:r>
      <w:r>
        <w:rPr>
          <w:bCs/>
          <w:color w:val="000000" w:themeColor="text1"/>
          <w:sz w:val="24"/>
          <w14:textFill>
            <w14:solidFill>
              <w14:schemeClr w14:val="tx1"/>
            </w14:solidFill>
          </w14:textFill>
        </w:rPr>
        <w:t>日颁布、同年</w:t>
      </w:r>
      <w:r>
        <w:rPr>
          <w:rFonts w:hint="eastAsia"/>
          <w:bCs/>
          <w:color w:val="000000" w:themeColor="text1"/>
          <w:sz w:val="24"/>
          <w14:textFill>
            <w14:solidFill>
              <w14:schemeClr w14:val="tx1"/>
            </w14:solidFill>
          </w14:textFill>
        </w:rPr>
        <w:t>8</w:t>
      </w:r>
      <w:r>
        <w:rPr>
          <w:bCs/>
          <w:color w:val="000000" w:themeColor="text1"/>
          <w:sz w:val="24"/>
          <w14:textFill>
            <w14:solidFill>
              <w14:schemeClr w14:val="tx1"/>
            </w14:solidFill>
          </w14:textFill>
        </w:rPr>
        <w:t>月</w:t>
      </w:r>
      <w:r>
        <w:rPr>
          <w:rFonts w:hint="eastAsia"/>
          <w:bCs/>
          <w:color w:val="000000" w:themeColor="text1"/>
          <w:sz w:val="24"/>
          <w14:textFill>
            <w14:solidFill>
              <w14:schemeClr w14:val="tx1"/>
            </w14:solidFill>
          </w14:textFill>
        </w:rPr>
        <w:t>8</w:t>
      </w:r>
      <w:r>
        <w:rPr>
          <w:bCs/>
          <w:color w:val="000000" w:themeColor="text1"/>
          <w:sz w:val="24"/>
          <w14:textFill>
            <w14:solidFill>
              <w14:schemeClr w14:val="tx1"/>
            </w14:solidFill>
          </w14:textFill>
        </w:rPr>
        <w:t>日实施的《</w:t>
      </w:r>
      <w:r>
        <w:rPr>
          <w:rFonts w:hint="eastAsia"/>
          <w:color w:val="000000" w:themeColor="text1"/>
          <w:sz w:val="24"/>
          <w14:textFill>
            <w14:solidFill>
              <w14:schemeClr w14:val="tx1"/>
            </w14:solidFill>
          </w14:textFill>
        </w:rPr>
        <w:t>公开募集</w:t>
      </w:r>
      <w:r>
        <w:rPr>
          <w:bCs/>
          <w:color w:val="000000" w:themeColor="text1"/>
          <w:sz w:val="24"/>
          <w14:textFill>
            <w14:solidFill>
              <w14:schemeClr w14:val="tx1"/>
            </w14:solidFill>
          </w14:textFill>
        </w:rPr>
        <w:t>证券投资基金运作管理办法》及颁布机关对其不时做出的修订</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15、《流动性</w:t>
      </w:r>
      <w:r>
        <w:rPr>
          <w:rFonts w:hint="eastAsia"/>
          <w:color w:val="000000" w:themeColor="text1"/>
          <w:sz w:val="24"/>
          <w14:textFill>
            <w14:solidFill>
              <w14:schemeClr w14:val="tx1"/>
            </w14:solidFill>
          </w14:textFill>
        </w:rPr>
        <w:t>风险管理</w:t>
      </w:r>
      <w:r>
        <w:rPr>
          <w:color w:val="000000" w:themeColor="text1"/>
          <w:sz w:val="24"/>
          <w14:textFill>
            <w14:solidFill>
              <w14:schemeClr w14:val="tx1"/>
            </w14:solidFill>
          </w14:textFill>
        </w:rPr>
        <w:t>规定》：指中国证监会2017年8月31日颁布、同年10月1日实施的《公开募集开放式证券投资基金流动性风险管理规定》及颁布机关对其不时做出的修订</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、《指数基金指引》：指中国证监会2021年1月22日颁布、同年2月1日实施的《公开募集证券投资基金运作指引第3号——指数基金指引》及颁布机关对其不时做出的修订</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7</w:t>
      </w:r>
      <w:r>
        <w:rPr>
          <w:rFonts w:hint="eastAsia"/>
          <w:bCs/>
          <w:color w:val="000000" w:themeColor="text1"/>
          <w:sz w:val="24"/>
          <w14:textFill>
            <w14:solidFill>
              <w14:schemeClr w14:val="tx1"/>
            </w14:solidFill>
          </w14:textFill>
        </w:rPr>
        <w:t>、</w:t>
      </w:r>
      <w:r>
        <w:rPr>
          <w:rFonts w:hint="eastAsia" w:ascii="宋体" w:cs="宋体"/>
          <w:color w:val="000000" w:themeColor="text1"/>
          <w:kern w:val="0"/>
          <w:sz w:val="24"/>
          <w:szCs w:val="24"/>
          <w14:textFill>
            <w14:solidFill>
              <w14:schemeClr w14:val="tx1"/>
            </w14:solidFill>
          </w14:textFill>
        </w:rPr>
        <w:t>交易型开放式证券投资基金</w:t>
      </w:r>
      <w:r>
        <w:rPr>
          <w:rFonts w:hint="eastAsia"/>
          <w:bCs/>
          <w:color w:val="000000" w:themeColor="text1"/>
          <w:sz w:val="24"/>
          <w14:textFill>
            <w14:solidFill>
              <w14:schemeClr w14:val="tx1"/>
            </w14:solidFill>
          </w14:textFill>
        </w:rPr>
        <w:t>：指《深圳证券交易所证券投资基金交易和申购赎回实施细则》定义的“交易型开放式基金”</w:t>
      </w:r>
      <w:r>
        <w:rPr>
          <w:rFonts w:hint="eastAsia" w:ascii="宋体" w:cs="宋体"/>
          <w:color w:val="000000" w:themeColor="text1"/>
          <w:kern w:val="0"/>
          <w:sz w:val="24"/>
          <w:szCs w:val="24"/>
          <w14:textFill>
            <w14:solidFill>
              <w14:schemeClr w14:val="tx1"/>
            </w14:solidFill>
          </w14:textFill>
        </w:rPr>
        <w:t>，简称“</w:t>
      </w:r>
      <w:bookmarkStart w:id="61" w:name="OLE_LINK1"/>
      <w:r>
        <w:rPr>
          <w:color w:val="000000" w:themeColor="text1"/>
          <w:kern w:val="0"/>
          <w:sz w:val="24"/>
          <w:szCs w:val="24"/>
          <w14:textFill>
            <w14:solidFill>
              <w14:schemeClr w14:val="tx1"/>
            </w14:solidFill>
          </w14:textFill>
        </w:rPr>
        <w:t>ETF</w:t>
      </w:r>
      <w:bookmarkEnd w:id="61"/>
      <w:r>
        <w:rPr>
          <w:rFonts w:hint="eastAsia" w:ascii="宋体" w:cs="宋体"/>
          <w:color w:val="000000" w:themeColor="text1"/>
          <w:kern w:val="0"/>
          <w:sz w:val="24"/>
          <w:szCs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8</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ETF</w:t>
      </w:r>
      <w:r>
        <w:rPr>
          <w:rFonts w:hint="eastAsia"/>
          <w:bCs/>
          <w:color w:val="000000" w:themeColor="text1"/>
          <w:sz w:val="24"/>
          <w14:textFill>
            <w14:solidFill>
              <w14:schemeClr w14:val="tx1"/>
            </w14:solidFill>
          </w14:textFill>
        </w:rPr>
        <w:t>联接基金、联接基金：指将绝大多数基金财产投资于本基金，与本基金的投资目标类似，采用开放式运作方式的基金</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19</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中国证监会：指中国证券监督管理委员会</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20</w:t>
      </w:r>
      <w:r>
        <w:rPr>
          <w:rFonts w:hint="eastAsia"/>
          <w:bCs/>
          <w:color w:val="000000" w:themeColor="text1"/>
          <w:sz w:val="24"/>
          <w14:textFill>
            <w14:solidFill>
              <w14:schemeClr w14:val="tx1"/>
            </w14:solidFill>
          </w14:textFill>
        </w:rPr>
        <w:t>、银行业监督管理机构：指中国人民银行和/或国家金融监督管理总局</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21</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基金合同当事人：指受基金合同约束，根据基金合同享有权利并承担义务的法律主体，包括基金管理人、基金托管人和基金份额持有人</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个人投资者：指依据有关法律法规规定可投资于证券投资基金的自然人</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23、机构投资者：指依法可以投资证券投资基金的、在中华人民共和国境内合法登记并存续或经有关政府部门批准设立并存续的企业法人、事业法人、社会团体或其他组织</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r>
        <w:rPr>
          <w:bCs/>
          <w:color w:val="000000" w:themeColor="text1"/>
          <w:sz w:val="24"/>
          <w14:textFill>
            <w14:solidFill>
              <w14:schemeClr w14:val="tx1"/>
            </w14:solidFill>
          </w14:textFill>
        </w:rPr>
        <w:t>5</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投资人</w:t>
      </w:r>
      <w:r>
        <w:rPr>
          <w:rFonts w:hint="eastAsia"/>
          <w:bCs/>
          <w:color w:val="000000" w:themeColor="text1"/>
          <w:sz w:val="24"/>
          <w14:textFill>
            <w14:solidFill>
              <w14:schemeClr w14:val="tx1"/>
            </w14:solidFill>
          </w14:textFill>
        </w:rPr>
        <w:t>、投资者</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指个人投资者、机构投资者、合格境外投资者以及法律法规或中国证监会允许购买证券投资基金的其他投资人的合称</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w:t>
      </w:r>
      <w:r>
        <w:rPr>
          <w:bCs/>
          <w:color w:val="000000" w:themeColor="text1"/>
          <w:sz w:val="24"/>
          <w14:textFill>
            <w14:solidFill>
              <w14:schemeClr w14:val="tx1"/>
            </w14:solidFill>
          </w14:textFill>
        </w:rPr>
        <w:t>基金份额持有人：指依基金合同和招募说明书合法取得基金份额的投资人</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7、</w:t>
      </w:r>
      <w:r>
        <w:rPr>
          <w:bCs/>
          <w:color w:val="000000" w:themeColor="text1"/>
          <w:sz w:val="24"/>
          <w14:textFill>
            <w14:solidFill>
              <w14:schemeClr w14:val="tx1"/>
            </w14:solidFill>
          </w14:textFill>
        </w:rPr>
        <w:t>基金销售业务：指基金管理人或销售机构宣传推介基金，发售基金份额，办理基金份额的申购、赎回</w:t>
      </w:r>
      <w:r>
        <w:rPr>
          <w:rFonts w:hint="eastAsia"/>
          <w:bCs/>
          <w:color w:val="000000" w:themeColor="text1"/>
          <w:sz w:val="24"/>
          <w14:textFill>
            <w14:solidFill>
              <w14:schemeClr w14:val="tx1"/>
            </w14:solidFill>
          </w14:textFill>
        </w:rPr>
        <w:t>及</w:t>
      </w:r>
      <w:r>
        <w:rPr>
          <w:bCs/>
          <w:color w:val="000000" w:themeColor="text1"/>
          <w:sz w:val="24"/>
          <w14:textFill>
            <w14:solidFill>
              <w14:schemeClr w14:val="tx1"/>
            </w14:solidFill>
          </w14:textFill>
        </w:rPr>
        <w:t>转托管等业务</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8、</w:t>
      </w:r>
      <w:r>
        <w:rPr>
          <w:bCs/>
          <w:color w:val="000000" w:themeColor="text1"/>
          <w:sz w:val="24"/>
          <w14:textFill>
            <w14:solidFill>
              <w14:schemeClr w14:val="tx1"/>
            </w14:solidFill>
          </w14:textFill>
        </w:rPr>
        <w:t>销售机构：指</w:t>
      </w:r>
      <w:r>
        <w:rPr>
          <w:rFonts w:hint="eastAsia"/>
          <w:bCs/>
          <w:color w:val="000000" w:themeColor="text1"/>
          <w:sz w:val="24"/>
          <w14:textFill>
            <w14:solidFill>
              <w14:schemeClr w14:val="tx1"/>
            </w14:solidFill>
          </w14:textFill>
        </w:rPr>
        <w:t>直销机构和其他销售机构</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29、直销机构：指大成基金管理有限公司</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30、其它</w:t>
      </w:r>
      <w:r>
        <w:rPr>
          <w:bCs/>
          <w:color w:val="000000" w:themeColor="text1"/>
          <w:sz w:val="24"/>
          <w14:textFill>
            <w14:solidFill>
              <w14:schemeClr w14:val="tx1"/>
            </w14:solidFill>
          </w14:textFill>
        </w:rPr>
        <w:t>销售机构：指符合《销售办法》和中国证监会规定的其他条件，取得基金</w:t>
      </w:r>
      <w:r>
        <w:rPr>
          <w:rFonts w:hint="eastAsia"/>
          <w:bCs/>
          <w:color w:val="000000" w:themeColor="text1"/>
          <w:sz w:val="24"/>
          <w14:textFill>
            <w14:solidFill>
              <w14:schemeClr w14:val="tx1"/>
            </w14:solidFill>
          </w14:textFill>
        </w:rPr>
        <w:t>销售</w:t>
      </w:r>
      <w:r>
        <w:rPr>
          <w:bCs/>
          <w:color w:val="000000" w:themeColor="text1"/>
          <w:sz w:val="24"/>
          <w14:textFill>
            <w14:solidFill>
              <w14:schemeClr w14:val="tx1"/>
            </w14:solidFill>
          </w14:textFill>
        </w:rPr>
        <w:t>业务资格并与基金管理人签订了基金销售服务协议，办理基金销售业务的机构</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包括发售代理机构和申购赎回代理机构</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31、</w:t>
      </w:r>
      <w:r>
        <w:rPr>
          <w:bCs/>
          <w:color w:val="000000" w:themeColor="text1"/>
          <w:sz w:val="24"/>
          <w14:textFill>
            <w14:solidFill>
              <w14:schemeClr w14:val="tx1"/>
            </w14:solidFill>
          </w14:textFill>
        </w:rPr>
        <w:t>发售代理机构：指符合《销售办法》和中国证监会规定的其他条件，</w:t>
      </w:r>
      <w:r>
        <w:rPr>
          <w:rFonts w:hint="eastAsia"/>
          <w:bCs/>
          <w:color w:val="000000" w:themeColor="text1"/>
          <w:sz w:val="24"/>
          <w14:textFill>
            <w14:solidFill>
              <w14:schemeClr w14:val="tx1"/>
            </w14:solidFill>
          </w14:textFill>
        </w:rPr>
        <w:t>由</w:t>
      </w:r>
      <w:r>
        <w:rPr>
          <w:bCs/>
          <w:color w:val="000000" w:themeColor="text1"/>
          <w:sz w:val="24"/>
          <w14:textFill>
            <w14:solidFill>
              <w14:schemeClr w14:val="tx1"/>
            </w14:solidFill>
          </w14:textFill>
        </w:rPr>
        <w:t>基金管理人指定的代理本基金发售业务的机构</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32、</w:t>
      </w:r>
      <w:r>
        <w:rPr>
          <w:bCs/>
          <w:color w:val="000000" w:themeColor="text1"/>
          <w:sz w:val="24"/>
          <w14:textFill>
            <w14:solidFill>
              <w14:schemeClr w14:val="tx1"/>
            </w14:solidFill>
          </w14:textFill>
        </w:rPr>
        <w:t>申购赎回代理机构</w:t>
      </w:r>
      <w:r>
        <w:rPr>
          <w:rFonts w:hint="eastAsia"/>
          <w:bCs/>
          <w:color w:val="000000" w:themeColor="text1"/>
          <w:sz w:val="24"/>
          <w14:textFill>
            <w14:solidFill>
              <w14:schemeClr w14:val="tx1"/>
            </w14:solidFill>
          </w14:textFill>
        </w:rPr>
        <w:t>、申购赎回代理券商</w:t>
      </w:r>
      <w:r>
        <w:rPr>
          <w:bCs/>
          <w:color w:val="000000" w:themeColor="text1"/>
          <w:sz w:val="24"/>
          <w14:textFill>
            <w14:solidFill>
              <w14:schemeClr w14:val="tx1"/>
            </w14:solidFill>
          </w14:textFill>
        </w:rPr>
        <w:t>：指符合《销售办法》和中国证监会规定的其他条件，</w:t>
      </w:r>
      <w:r>
        <w:rPr>
          <w:rFonts w:hint="eastAsia"/>
          <w:bCs/>
          <w:color w:val="000000" w:themeColor="text1"/>
          <w:sz w:val="24"/>
          <w14:textFill>
            <w14:solidFill>
              <w14:schemeClr w14:val="tx1"/>
            </w14:solidFill>
          </w14:textFill>
        </w:rPr>
        <w:t>由</w:t>
      </w:r>
      <w:r>
        <w:rPr>
          <w:bCs/>
          <w:color w:val="000000" w:themeColor="text1"/>
          <w:sz w:val="24"/>
          <w14:textFill>
            <w14:solidFill>
              <w14:schemeClr w14:val="tx1"/>
            </w14:solidFill>
          </w14:textFill>
        </w:rPr>
        <w:t>基金管理人指定的办理本基金申购、赎回业务的证券公司，又称为代办证券公司</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33、</w:t>
      </w:r>
      <w:r>
        <w:rPr>
          <w:bCs/>
          <w:color w:val="000000" w:themeColor="text1"/>
          <w:sz w:val="24"/>
          <w14:textFill>
            <w14:solidFill>
              <w14:schemeClr w14:val="tx1"/>
            </w14:solidFill>
          </w14:textFill>
        </w:rPr>
        <w:t>登记业务：指基金登记、存管、过户、清算和结算业务，具体内容包括投资人</w:t>
      </w:r>
      <w:r>
        <w:rPr>
          <w:rFonts w:hint="eastAsia"/>
          <w:bCs/>
          <w:color w:val="000000" w:themeColor="text1"/>
          <w:sz w:val="24"/>
          <w14:textFill>
            <w14:solidFill>
              <w14:schemeClr w14:val="tx1"/>
            </w14:solidFill>
          </w14:textFill>
        </w:rPr>
        <w:t>相关</w:t>
      </w:r>
      <w:r>
        <w:rPr>
          <w:bCs/>
          <w:color w:val="000000" w:themeColor="text1"/>
          <w:sz w:val="24"/>
          <w14:textFill>
            <w14:solidFill>
              <w14:schemeClr w14:val="tx1"/>
            </w14:solidFill>
          </w14:textFill>
        </w:rPr>
        <w:t>账户的建立和管理、基金份额登记、基金销售业务的确认、清算和结算、代理发放红利、建立并保管基金份额持有人名册</w:t>
      </w:r>
      <w:r>
        <w:rPr>
          <w:rFonts w:hint="eastAsia"/>
          <w:bCs/>
          <w:color w:val="000000" w:themeColor="text1"/>
          <w:sz w:val="24"/>
          <w14:textFill>
            <w14:solidFill>
              <w14:schemeClr w14:val="tx1"/>
            </w14:solidFill>
          </w14:textFill>
        </w:rPr>
        <w:t>和办理非交易过户</w:t>
      </w:r>
      <w:r>
        <w:rPr>
          <w:bCs/>
          <w:color w:val="000000" w:themeColor="text1"/>
          <w:sz w:val="24"/>
          <w14:textFill>
            <w14:solidFill>
              <w14:schemeClr w14:val="tx1"/>
            </w14:solidFill>
          </w14:textFill>
        </w:rPr>
        <w:t>等</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w:t>
      </w:r>
      <w:r>
        <w:rPr>
          <w:bCs/>
          <w:color w:val="000000" w:themeColor="text1"/>
          <w:sz w:val="24"/>
          <w14:textFill>
            <w14:solidFill>
              <w14:schemeClr w14:val="tx1"/>
            </w14:solidFill>
          </w14:textFill>
        </w:rPr>
        <w:t>登记机构：指</w:t>
      </w:r>
      <w:r>
        <w:rPr>
          <w:rFonts w:hint="eastAsia"/>
          <w:bCs/>
          <w:color w:val="000000" w:themeColor="text1"/>
          <w:sz w:val="24"/>
          <w14:textFill>
            <w14:solidFill>
              <w14:schemeClr w14:val="tx1"/>
            </w14:solidFill>
          </w14:textFill>
        </w:rPr>
        <w:t>办理登记业务的机构。本基金的登记机构为中国证券登记结算有限责任公司</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35、深圳证券账户：指投资人在中国证券登记结算有限责任公司深圳分公司开立的深圳证券交易所人民币普通股票账户（即A股账户）或深圳证券交易所证券投资基金账户</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36、</w:t>
      </w:r>
      <w:r>
        <w:rPr>
          <w:bCs/>
          <w:color w:val="000000" w:themeColor="text1"/>
          <w:sz w:val="24"/>
          <w14:textFill>
            <w14:solidFill>
              <w14:schemeClr w14:val="tx1"/>
            </w14:solidFill>
          </w14:textFill>
        </w:rPr>
        <w:t>基金合同生效日：指基金募集达到法律法规规定及基金合同规定的条件，基金管理人向中国证监会办理基金备案手续完毕，并获得中国证监会书面确认的日期</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37、</w:t>
      </w:r>
      <w:r>
        <w:rPr>
          <w:bCs/>
          <w:color w:val="000000" w:themeColor="text1"/>
          <w:sz w:val="24"/>
          <w14:textFill>
            <w14:solidFill>
              <w14:schemeClr w14:val="tx1"/>
            </w14:solidFill>
          </w14:textFill>
        </w:rPr>
        <w:t>基金合同终止日：指基金合同规定的基金合同终止事由出现后，基金财产清算完毕，清算结果报中国证监会备案并予以公告的日期</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38、</w:t>
      </w:r>
      <w:r>
        <w:rPr>
          <w:bCs/>
          <w:color w:val="000000" w:themeColor="text1"/>
          <w:sz w:val="24"/>
          <w14:textFill>
            <w14:solidFill>
              <w14:schemeClr w14:val="tx1"/>
            </w14:solidFill>
          </w14:textFill>
        </w:rPr>
        <w:t>基金募集期：指自基金份额发售之日起至发售结束之日止的期间，最长不得超过</w:t>
      </w:r>
      <w:r>
        <w:rPr>
          <w:rFonts w:hint="eastAsia"/>
          <w:bCs/>
          <w:color w:val="000000" w:themeColor="text1"/>
          <w:sz w:val="24"/>
          <w14:textFill>
            <w14:solidFill>
              <w14:schemeClr w14:val="tx1"/>
            </w14:solidFill>
          </w14:textFill>
        </w:rPr>
        <w:t>3</w:t>
      </w:r>
      <w:r>
        <w:rPr>
          <w:bCs/>
          <w:color w:val="000000" w:themeColor="text1"/>
          <w:sz w:val="24"/>
          <w14:textFill>
            <w14:solidFill>
              <w14:schemeClr w14:val="tx1"/>
            </w14:solidFill>
          </w14:textFill>
        </w:rPr>
        <w:t>个月</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39、</w:t>
      </w:r>
      <w:r>
        <w:rPr>
          <w:bCs/>
          <w:color w:val="000000" w:themeColor="text1"/>
          <w:sz w:val="24"/>
          <w14:textFill>
            <w14:solidFill>
              <w14:schemeClr w14:val="tx1"/>
            </w14:solidFill>
          </w14:textFill>
        </w:rPr>
        <w:t>存续期：指基金合同生效至终止之间的不定期期限</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40、</w:t>
      </w:r>
      <w:r>
        <w:rPr>
          <w:bCs/>
          <w:color w:val="000000" w:themeColor="text1"/>
          <w:sz w:val="24"/>
          <w14:textFill>
            <w14:solidFill>
              <w14:schemeClr w14:val="tx1"/>
            </w14:solidFill>
          </w14:textFill>
        </w:rPr>
        <w:t>工作日：</w:t>
      </w:r>
      <w:r>
        <w:rPr>
          <w:rFonts w:hint="eastAsia"/>
          <w:bCs/>
          <w:color w:val="000000" w:themeColor="text1"/>
          <w:sz w:val="24"/>
          <w14:textFill>
            <w14:solidFill>
              <w14:schemeClr w14:val="tx1"/>
            </w14:solidFill>
          </w14:textFill>
        </w:rPr>
        <w:t>指上海证券交易所、深圳证券交易所的正常交易日</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41、</w:t>
      </w:r>
      <w:r>
        <w:rPr>
          <w:bCs/>
          <w:color w:val="000000" w:themeColor="text1"/>
          <w:sz w:val="24"/>
          <w14:textFill>
            <w14:solidFill>
              <w14:schemeClr w14:val="tx1"/>
            </w14:solidFill>
          </w14:textFill>
        </w:rPr>
        <w:t>T日：指销售机构在规定时间受理投资人申购、赎回或其他业务申请的开放日</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42、</w:t>
      </w:r>
      <w:r>
        <w:rPr>
          <w:bCs/>
          <w:color w:val="000000" w:themeColor="text1"/>
          <w:sz w:val="24"/>
          <w14:textFill>
            <w14:solidFill>
              <w14:schemeClr w14:val="tx1"/>
            </w14:solidFill>
          </w14:textFill>
        </w:rPr>
        <w:t>T+n日：指自T日起第n个工作日</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不包含T日</w:t>
      </w:r>
      <w:r>
        <w:rPr>
          <w:rFonts w:hint="eastAsia"/>
          <w:bCs/>
          <w:color w:val="000000" w:themeColor="text1"/>
          <w:sz w:val="24"/>
          <w14:textFill>
            <w14:solidFill>
              <w14:schemeClr w14:val="tx1"/>
            </w14:solidFill>
          </w14:textFill>
        </w:rPr>
        <w:t>），n为自然数</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43、</w:t>
      </w:r>
      <w:r>
        <w:rPr>
          <w:bCs/>
          <w:color w:val="000000" w:themeColor="text1"/>
          <w:sz w:val="24"/>
          <w14:textFill>
            <w14:solidFill>
              <w14:schemeClr w14:val="tx1"/>
            </w14:solidFill>
          </w14:textFill>
        </w:rPr>
        <w:t>开放日：指为投资人办理基金份额申购、赎回或其他业务的工作日</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44、</w:t>
      </w:r>
      <w:r>
        <w:rPr>
          <w:bCs/>
          <w:color w:val="000000" w:themeColor="text1"/>
          <w:sz w:val="24"/>
          <w14:textFill>
            <w14:solidFill>
              <w14:schemeClr w14:val="tx1"/>
            </w14:solidFill>
          </w14:textFill>
        </w:rPr>
        <w:t>开放时间：指开放日基金接受申购、赎回或其他交易的时间段</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45、</w:t>
      </w:r>
      <w:r>
        <w:rPr>
          <w:bCs/>
          <w:color w:val="000000" w:themeColor="text1"/>
          <w:sz w:val="24"/>
          <w14:textFill>
            <w14:solidFill>
              <w14:schemeClr w14:val="tx1"/>
            </w14:solidFill>
          </w14:textFill>
        </w:rPr>
        <w:t>业务规则：</w:t>
      </w:r>
      <w:r>
        <w:rPr>
          <w:rFonts w:hint="eastAsia"/>
          <w:bCs/>
          <w:color w:val="000000" w:themeColor="text1"/>
          <w:sz w:val="24"/>
          <w14:textFill>
            <w14:solidFill>
              <w14:schemeClr w14:val="tx1"/>
            </w14:solidFill>
          </w14:textFill>
        </w:rPr>
        <w:t>指深圳证券交易所发布实施的《</w:t>
      </w:r>
      <w:bookmarkStart w:id="62" w:name="_Hlk177981670"/>
      <w:r>
        <w:rPr>
          <w:rFonts w:hint="eastAsia"/>
          <w:bCs/>
          <w:color w:val="000000" w:themeColor="text1"/>
          <w:sz w:val="24"/>
          <w14:textFill>
            <w14:solidFill>
              <w14:schemeClr w14:val="tx1"/>
            </w14:solidFill>
          </w14:textFill>
        </w:rPr>
        <w:t>深圳证券交易所证券投资基金交易和申购赎回实施细则</w:t>
      </w:r>
      <w:bookmarkEnd w:id="62"/>
      <w:r>
        <w:rPr>
          <w:rFonts w:hint="eastAsia"/>
          <w:bCs/>
          <w:color w:val="000000" w:themeColor="text1"/>
          <w:sz w:val="24"/>
          <w14:textFill>
            <w14:solidFill>
              <w14:schemeClr w14:val="tx1"/>
            </w14:solidFill>
          </w14:textFill>
        </w:rPr>
        <w:t>》（包括其不时修订）、中国证券登记结算有限责任公司发布实施的《中国证券登记结算有限责任公司关于交易所交易型开放式证券投资基金登记结算业务实施细则》（包括其不时修订）及基金管理人、中国证券登记结算有限责任公司、深圳证券交易所发布的其他相关规则、规定、通知及指南等</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46、</w:t>
      </w:r>
      <w:r>
        <w:rPr>
          <w:bCs/>
          <w:color w:val="000000" w:themeColor="text1"/>
          <w:sz w:val="24"/>
          <w14:textFill>
            <w14:solidFill>
              <w14:schemeClr w14:val="tx1"/>
            </w14:solidFill>
          </w14:textFill>
        </w:rPr>
        <w:t>认购：指在基金募集期内，投资人</w:t>
      </w:r>
      <w:r>
        <w:rPr>
          <w:rFonts w:hint="eastAsia"/>
          <w:bCs/>
          <w:color w:val="000000" w:themeColor="text1"/>
          <w:sz w:val="24"/>
          <w14:textFill>
            <w14:solidFill>
              <w14:schemeClr w14:val="tx1"/>
            </w14:solidFill>
          </w14:textFill>
        </w:rPr>
        <w:t>根据基金合同和招募说明书的规定</w:t>
      </w:r>
      <w:r>
        <w:rPr>
          <w:bCs/>
          <w:color w:val="000000" w:themeColor="text1"/>
          <w:sz w:val="24"/>
          <w14:textFill>
            <w14:solidFill>
              <w14:schemeClr w14:val="tx1"/>
            </w14:solidFill>
          </w14:textFill>
        </w:rPr>
        <w:t>申请购买基金份额的行为</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47、</w:t>
      </w:r>
      <w:r>
        <w:rPr>
          <w:bCs/>
          <w:color w:val="000000" w:themeColor="text1"/>
          <w:sz w:val="24"/>
          <w14:textFill>
            <w14:solidFill>
              <w14:schemeClr w14:val="tx1"/>
            </w14:solidFill>
          </w14:textFill>
        </w:rPr>
        <w:t>申购：指基金合同生效后，投资人根据基金合同和招募说明书的规定</w:t>
      </w:r>
      <w:r>
        <w:rPr>
          <w:rFonts w:hint="eastAsia"/>
          <w:bCs/>
          <w:color w:val="000000" w:themeColor="text1"/>
          <w:sz w:val="24"/>
          <w14:textFill>
            <w14:solidFill>
              <w14:schemeClr w14:val="tx1"/>
            </w14:solidFill>
          </w14:textFill>
        </w:rPr>
        <w:t>，以申购赎回清单规定的申购对价向基金管理人</w:t>
      </w:r>
      <w:r>
        <w:rPr>
          <w:bCs/>
          <w:color w:val="000000" w:themeColor="text1"/>
          <w:sz w:val="24"/>
          <w14:textFill>
            <w14:solidFill>
              <w14:schemeClr w14:val="tx1"/>
            </w14:solidFill>
          </w14:textFill>
        </w:rPr>
        <w:t>申请购买基金份额的行为</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48、</w:t>
      </w:r>
      <w:r>
        <w:rPr>
          <w:bCs/>
          <w:color w:val="000000" w:themeColor="text1"/>
          <w:sz w:val="24"/>
          <w14:textFill>
            <w14:solidFill>
              <w14:schemeClr w14:val="tx1"/>
            </w14:solidFill>
          </w14:textFill>
        </w:rPr>
        <w:t>赎回：指基金合同生效后，基金份额持有人按基金合同</w:t>
      </w:r>
      <w:r>
        <w:rPr>
          <w:rFonts w:hint="eastAsia"/>
          <w:bCs/>
          <w:color w:val="000000" w:themeColor="text1"/>
          <w:sz w:val="24"/>
          <w14:textFill>
            <w14:solidFill>
              <w14:schemeClr w14:val="tx1"/>
            </w14:solidFill>
          </w14:textFill>
        </w:rPr>
        <w:t>和招募说明书</w:t>
      </w:r>
      <w:r>
        <w:rPr>
          <w:bCs/>
          <w:color w:val="000000" w:themeColor="text1"/>
          <w:sz w:val="24"/>
          <w14:textFill>
            <w14:solidFill>
              <w14:schemeClr w14:val="tx1"/>
            </w14:solidFill>
          </w14:textFill>
        </w:rPr>
        <w:t>规定的条件</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要求将基金份额兑换为</w:t>
      </w:r>
      <w:r>
        <w:rPr>
          <w:rFonts w:hint="eastAsia"/>
          <w:bCs/>
          <w:color w:val="000000" w:themeColor="text1"/>
          <w:sz w:val="24"/>
          <w14:textFill>
            <w14:solidFill>
              <w14:schemeClr w14:val="tx1"/>
            </w14:solidFill>
          </w14:textFill>
        </w:rPr>
        <w:t>申购赎回清单所规定的赎回对价的行为</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49、场内：指通过</w:t>
      </w:r>
      <w:r>
        <w:rPr>
          <w:rFonts w:hint="eastAsia"/>
          <w:bCs/>
          <w:color w:val="000000" w:themeColor="text1"/>
          <w:sz w:val="24"/>
          <w14:textFill>
            <w14:solidFill>
              <w14:schemeClr w14:val="tx1"/>
            </w14:solidFill>
          </w14:textFill>
        </w:rPr>
        <w:t>深圳</w:t>
      </w:r>
      <w:r>
        <w:rPr>
          <w:bCs/>
          <w:color w:val="000000" w:themeColor="text1"/>
          <w:sz w:val="24"/>
          <w14:textFill>
            <w14:solidFill>
              <w14:schemeClr w14:val="tx1"/>
            </w14:solidFill>
          </w14:textFill>
        </w:rPr>
        <w:t>证券交易所交易系统办理基金份额认购、申购、赎回和上市交易业务的场所</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50</w:t>
      </w:r>
      <w:r>
        <w:rPr>
          <w:rFonts w:hint="eastAsia"/>
          <w:bCs/>
          <w:color w:val="000000" w:themeColor="text1"/>
          <w:sz w:val="24"/>
          <w14:textFill>
            <w14:solidFill>
              <w14:schemeClr w14:val="tx1"/>
            </w14:solidFill>
          </w14:textFill>
        </w:rPr>
        <w:t>、申购赎回清单：指由基金管理人编制的用以公告申购对价、赎回对价等信息的文件</w:t>
      </w:r>
    </w:p>
    <w:p>
      <w:pPr>
        <w:spacing w:line="360" w:lineRule="auto"/>
        <w:ind w:firstLine="480" w:firstLineChars="200"/>
        <w:rPr>
          <w:bCs/>
          <w:color w:val="000000" w:themeColor="text1"/>
          <w:sz w:val="24"/>
          <w14:textFill>
            <w14:solidFill>
              <w14:schemeClr w14:val="tx1"/>
            </w14:solidFill>
          </w14:textFill>
        </w:rPr>
      </w:pPr>
      <w:bookmarkStart w:id="63" w:name="OLE_LINK2"/>
      <w:r>
        <w:rPr>
          <w:bCs/>
          <w:color w:val="000000" w:themeColor="text1"/>
          <w:sz w:val="24"/>
          <w14:textFill>
            <w14:solidFill>
              <w14:schemeClr w14:val="tx1"/>
            </w14:solidFill>
          </w14:textFill>
        </w:rPr>
        <w:t>51</w:t>
      </w:r>
      <w:r>
        <w:rPr>
          <w:rFonts w:hint="eastAsia"/>
          <w:bCs/>
          <w:color w:val="000000" w:themeColor="text1"/>
          <w:sz w:val="24"/>
          <w14:textFill>
            <w14:solidFill>
              <w14:schemeClr w14:val="tx1"/>
            </w14:solidFill>
          </w14:textFill>
        </w:rPr>
        <w:t>、申购对价：在场内申购赎回方式下，指投资人申购基金份额时，按基金合同和招募说明书规定应交付的现金替代、现金差额及其他对价</w:t>
      </w:r>
    </w:p>
    <w:bookmarkEnd w:id="63"/>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52</w:t>
      </w:r>
      <w:r>
        <w:rPr>
          <w:rFonts w:hint="eastAsia"/>
          <w:bCs/>
          <w:color w:val="000000" w:themeColor="text1"/>
          <w:sz w:val="24"/>
          <w14:textFill>
            <w14:solidFill>
              <w14:schemeClr w14:val="tx1"/>
            </w14:solidFill>
          </w14:textFill>
        </w:rPr>
        <w:t>、赎回对价：在场内申购赎回方式下，指投资人赎回基金份额时，基金管理人按基金合同和招募说明书规定应交付给赎回人的现金替代、现金差额及其他对价</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53</w:t>
      </w:r>
      <w:r>
        <w:rPr>
          <w:rFonts w:hint="eastAsia"/>
          <w:bCs/>
          <w:color w:val="000000" w:themeColor="text1"/>
          <w:sz w:val="24"/>
          <w14:textFill>
            <w14:solidFill>
              <w14:schemeClr w14:val="tx1"/>
            </w14:solidFill>
          </w14:textFill>
        </w:rPr>
        <w:t>、标的指数：指中证指数有限公司编制并发布的中证AAA科技创新公司债指数及其未来可能发生的变更</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54</w:t>
      </w:r>
      <w:r>
        <w:rPr>
          <w:rFonts w:hint="eastAsia"/>
          <w:bCs/>
          <w:color w:val="000000" w:themeColor="text1"/>
          <w:sz w:val="24"/>
          <w14:textFill>
            <w14:solidFill>
              <w14:schemeClr w14:val="tx1"/>
            </w14:solidFill>
          </w14:textFill>
        </w:rPr>
        <w:t>、组合证券：指本基金标的指数所包含的全部或部分证券</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55</w:t>
      </w:r>
      <w:r>
        <w:rPr>
          <w:rFonts w:hint="eastAsia"/>
          <w:bCs/>
          <w:color w:val="000000" w:themeColor="text1"/>
          <w:sz w:val="24"/>
          <w14:textFill>
            <w14:solidFill>
              <w14:schemeClr w14:val="tx1"/>
            </w14:solidFill>
          </w14:textFill>
        </w:rPr>
        <w:t>、最小申购赎回单位：指本基金申购场内份额、赎回场内份额的最低数量，投资人申购、赎回的基金份额数应为最小申购赎回单位的整数倍</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56</w:t>
      </w:r>
      <w:r>
        <w:rPr>
          <w:rFonts w:hint="eastAsia"/>
          <w:bCs/>
          <w:color w:val="000000" w:themeColor="text1"/>
          <w:sz w:val="24"/>
          <w14:textFill>
            <w14:solidFill>
              <w14:schemeClr w14:val="tx1"/>
            </w14:solidFill>
          </w14:textFill>
        </w:rPr>
        <w:t>、现金替代：在场内申购赎回方式下，指申购、赎回过程中，投资人按基金合同和招募说明书的规定，用于替代组合证券中部分或</w:t>
      </w:r>
      <w:r>
        <w:rPr>
          <w:bCs/>
          <w:color w:val="000000" w:themeColor="text1"/>
          <w:sz w:val="24"/>
          <w14:textFill>
            <w14:solidFill>
              <w14:schemeClr w14:val="tx1"/>
            </w14:solidFill>
          </w14:textFill>
        </w:rPr>
        <w:t>全部</w:t>
      </w:r>
      <w:r>
        <w:rPr>
          <w:rFonts w:hint="eastAsia"/>
          <w:bCs/>
          <w:color w:val="000000" w:themeColor="text1"/>
          <w:sz w:val="24"/>
          <w14:textFill>
            <w14:solidFill>
              <w14:schemeClr w14:val="tx1"/>
            </w14:solidFill>
          </w14:textFill>
        </w:rPr>
        <w:t>证券的一定数量的现金</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57</w:t>
      </w:r>
      <w:r>
        <w:rPr>
          <w:rFonts w:hint="eastAsia"/>
          <w:bCs/>
          <w:color w:val="000000" w:themeColor="text1"/>
          <w:sz w:val="24"/>
          <w14:textFill>
            <w14:solidFill>
              <w14:schemeClr w14:val="tx1"/>
            </w14:solidFill>
          </w14:textFill>
        </w:rPr>
        <w:t>、现金差额：在场内申购赎回方式下，指最小申购赎回单位的资产净值与按基金合同约定的估值方法计算的最小申购赎回单位中的组合证券价值和现金替代之差（具体详见现金差额的计算公式）；投资人申购、赎回时应支付或应获得的现金差额根据最小申购赎回单位对应的现金差额、申购或赎回的基金份额数计算</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58</w:t>
      </w:r>
      <w:r>
        <w:rPr>
          <w:rFonts w:hint="eastAsia"/>
          <w:bCs/>
          <w:color w:val="000000" w:themeColor="text1"/>
          <w:sz w:val="24"/>
          <w14:textFill>
            <w14:solidFill>
              <w14:schemeClr w14:val="tx1"/>
            </w14:solidFill>
          </w14:textFill>
        </w:rPr>
        <w:t>、基金份额参考净值：指基金管理人或者基金管理人委托的其他机构在交易时间内根据基金管理人提供的申购赎回清单和组合证券内各只证券的实时成交数据计算并由深圳证券交易所在交易时间内发布的基金份额参考净值，简称IOPV</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59</w:t>
      </w:r>
      <w:r>
        <w:rPr>
          <w:rFonts w:hint="eastAsia"/>
          <w:bCs/>
          <w:color w:val="000000" w:themeColor="text1"/>
          <w:sz w:val="24"/>
          <w14:textFill>
            <w14:solidFill>
              <w14:schemeClr w14:val="tx1"/>
            </w14:solidFill>
          </w14:textFill>
        </w:rPr>
        <w:t>、预估现金差额：在场内申购赎回方式下，指由基金管理人计算并在T日申购赎回清单中公布的当日现金差额的预估值，预估现金差额由申购赎回代理机构预先冻结</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60</w:t>
      </w:r>
      <w:r>
        <w:rPr>
          <w:rFonts w:hint="eastAsia"/>
          <w:bCs/>
          <w:color w:val="000000" w:themeColor="text1"/>
          <w:sz w:val="24"/>
          <w14:textFill>
            <w14:solidFill>
              <w14:schemeClr w14:val="tx1"/>
            </w14:solidFill>
          </w14:textFill>
        </w:rPr>
        <w:t>、基金份额折算：指基金管理人根据基金运作的需要，在基金资产净值不变的前提下，按照一定比例调整基金份额总额及基金份额净值</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61</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元：指人民币元</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62</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基金收益：指基金投资所得债券利息、买卖证券价差、银行存款利息、已实现的其他合法收入及因运用基金财产带来的成本和费用的节约</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63</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基金资产总值：指基金拥有的各类有价证券、银行存款本息、基金应收</w:t>
      </w:r>
      <w:r>
        <w:rPr>
          <w:rFonts w:hint="eastAsia"/>
          <w:bCs/>
          <w:color w:val="000000" w:themeColor="text1"/>
          <w:sz w:val="24"/>
          <w14:textFill>
            <w14:solidFill>
              <w14:schemeClr w14:val="tx1"/>
            </w14:solidFill>
          </w14:textFill>
        </w:rPr>
        <w:t>款项</w:t>
      </w:r>
      <w:r>
        <w:rPr>
          <w:bCs/>
          <w:color w:val="000000" w:themeColor="text1"/>
          <w:sz w:val="24"/>
          <w14:textFill>
            <w14:solidFill>
              <w14:schemeClr w14:val="tx1"/>
            </w14:solidFill>
          </w14:textFill>
        </w:rPr>
        <w:t>及其他资产的价值总和</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64</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基金资产净值：指基金资产总值减去基金负债后的价值</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65</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基金份额净值：指计算日基金资产净值除以计算日基金份额总数</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66</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基金资产估值：指计算评估基金资产和负债的价值，以确定基金资产净值和基金份额净值的过程</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67</w:t>
      </w:r>
      <w:r>
        <w:rPr>
          <w:rFonts w:hint="eastAsia"/>
          <w:bCs/>
          <w:color w:val="000000" w:themeColor="text1"/>
          <w:sz w:val="24"/>
          <w14:textFill>
            <w14:solidFill>
              <w14:schemeClr w14:val="tx1"/>
            </w14:solidFill>
          </w14:textFill>
        </w:rPr>
        <w:t>、收益评价日：指基金管理人计算本基金净值增长率与业绩比较基准增长率差额以及基金可供分配利润金额之基准日</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68</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规定媒介：</w:t>
      </w:r>
      <w:r>
        <w:rPr>
          <w:rFonts w:hint="eastAsia"/>
          <w:bCs/>
          <w:color w:val="000000" w:themeColor="text1"/>
          <w:sz w:val="24"/>
          <w14:textFill>
            <w14:solidFill>
              <w14:schemeClr w14:val="tx1"/>
            </w14:solidFill>
          </w14:textFill>
        </w:rPr>
        <w:t>指符合中国证监会规定条件的用以进行信息披露的全国性报刊及《信息披露办法》规定的互联网网站（包括基金管理人网站、基金托管人网站、中国证监会基金电子披露网站）等媒介</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69</w:t>
      </w:r>
      <w:r>
        <w:rPr>
          <w:rFonts w:hint="eastAsia"/>
          <w:color w:val="000000" w:themeColor="text1"/>
          <w:sz w:val="24"/>
          <w14:textFill>
            <w14:solidFill>
              <w14:schemeClr w14:val="tx1"/>
            </w14:solidFill>
          </w14:textFill>
        </w:rPr>
        <w:t>、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70</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不可抗力：指</w:t>
      </w:r>
      <w:r>
        <w:rPr>
          <w:rFonts w:hint="eastAsia"/>
          <w:bCs/>
          <w:color w:val="000000" w:themeColor="text1"/>
          <w:sz w:val="24"/>
          <w14:textFill>
            <w14:solidFill>
              <w14:schemeClr w14:val="tx1"/>
            </w14:solidFill>
          </w14:textFill>
        </w:rPr>
        <w:t>基金</w:t>
      </w:r>
      <w:r>
        <w:rPr>
          <w:bCs/>
          <w:color w:val="000000" w:themeColor="text1"/>
          <w:sz w:val="24"/>
          <w14:textFill>
            <w14:solidFill>
              <w14:schemeClr w14:val="tx1"/>
            </w14:solidFill>
          </w14:textFill>
        </w:rPr>
        <w:t>合同当事人不能预见、不能避免且不能克服的客观事件</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71</w:t>
      </w:r>
      <w:r>
        <w:rPr>
          <w:rFonts w:hint="eastAsia"/>
          <w:bCs/>
          <w:color w:val="000000" w:themeColor="text1"/>
          <w:sz w:val="24"/>
          <w14:textFill>
            <w14:solidFill>
              <w14:schemeClr w14:val="tx1"/>
            </w14:solidFill>
          </w14:textFill>
        </w:rPr>
        <w:t>、信用衍生品：指符合证券交易所或银行间市场相关业务规则，专门用于管理信用风险的信用衍生工具</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72、信用保护买方：指接受信用风险保护的一方</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73、信用保护卖方：指提供信用风险保护的一方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74</w:t>
      </w:r>
      <w:r>
        <w:rPr>
          <w:rFonts w:hint="eastAsia"/>
          <w:bCs/>
          <w:color w:val="000000" w:themeColor="text1"/>
          <w:sz w:val="24"/>
          <w14:textFill>
            <w14:solidFill>
              <w14:schemeClr w14:val="tx1"/>
            </w14:solidFill>
          </w14:textFill>
        </w:rPr>
        <w:t>、名义本金：指一笔信用衍生产品交易提供信用风险保护的金额，各项支付和结算以此金额为计算基准</w:t>
      </w:r>
    </w:p>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14:textFill>
            <w14:solidFill>
              <w14:schemeClr w14:val="tx1"/>
            </w14:solidFill>
          </w14:textFill>
        </w:rPr>
        <w:br w:type="page"/>
      </w:r>
      <w:bookmarkStart w:id="64" w:name="_Toc733"/>
      <w:bookmarkStart w:id="65" w:name="_Toc545"/>
      <w:bookmarkStart w:id="66" w:name="_Toc6149"/>
      <w:bookmarkStart w:id="67" w:name="_Toc13288"/>
      <w:bookmarkStart w:id="68" w:name="_Toc18631"/>
      <w:bookmarkStart w:id="69" w:name="_Toc6683"/>
      <w:bookmarkStart w:id="70" w:name="_Toc24571"/>
      <w:bookmarkStart w:id="71" w:name="_Toc20318"/>
      <w:bookmarkStart w:id="72" w:name="_Toc20627"/>
      <w:bookmarkStart w:id="73" w:name="_Toc104716689"/>
      <w:bookmarkStart w:id="74" w:name="_Toc22708"/>
      <w:bookmarkStart w:id="75" w:name="_Toc233456272"/>
      <w:bookmarkStart w:id="76" w:name="_Toc258829400"/>
      <w:r>
        <w:rPr>
          <w:rFonts w:ascii="Times New Roman"/>
          <w:color w:val="000000" w:themeColor="text1"/>
          <w:sz w:val="30"/>
          <w14:textFill>
            <w14:solidFill>
              <w14:schemeClr w14:val="tx1"/>
            </w14:solidFill>
          </w14:textFill>
        </w:rPr>
        <w:t>第三部分  基金的基本情况</w:t>
      </w:r>
      <w:bookmarkEnd w:id="64"/>
      <w:bookmarkEnd w:id="65"/>
      <w:bookmarkEnd w:id="66"/>
      <w:bookmarkEnd w:id="67"/>
      <w:bookmarkEnd w:id="68"/>
      <w:bookmarkEnd w:id="69"/>
      <w:bookmarkEnd w:id="70"/>
      <w:bookmarkEnd w:id="71"/>
      <w:bookmarkEnd w:id="72"/>
      <w:bookmarkEnd w:id="73"/>
      <w:bookmarkEnd w:id="74"/>
      <w:bookmarkStart w:id="77" w:name="_Toc79392573"/>
    </w:p>
    <w:p>
      <w:pPr>
        <w:spacing w:line="360" w:lineRule="auto"/>
        <w:ind w:firstLine="540"/>
        <w:rPr>
          <w:bCs/>
          <w:color w:val="000000" w:themeColor="text1"/>
          <w:sz w:val="24"/>
          <w14:textFill>
            <w14:solidFill>
              <w14:schemeClr w14:val="tx1"/>
            </w14:solidFill>
          </w14:textFill>
        </w:rPr>
      </w:pPr>
      <w:bookmarkStart w:id="78" w:name="_Hlt88031774"/>
      <w:bookmarkEnd w:id="78"/>
      <w:bookmarkStart w:id="79" w:name="_Hlt88031741"/>
    </w:p>
    <w:bookmarkEnd w:id="79"/>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一、基金名称</w:t>
      </w:r>
      <w:bookmarkEnd w:id="77"/>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大成中证AAA科技创新公司债交易型开放式指数证券投资基金</w:t>
      </w:r>
    </w:p>
    <w:p>
      <w:pPr>
        <w:spacing w:line="360" w:lineRule="auto"/>
        <w:ind w:firstLine="480" w:firstLineChars="200"/>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bookmarkStart w:id="80" w:name="_Toc79392574"/>
      <w:r>
        <w:rPr>
          <w:bCs/>
          <w:color w:val="000000" w:themeColor="text1"/>
          <w:sz w:val="24"/>
          <w14:textFill>
            <w14:solidFill>
              <w14:schemeClr w14:val="tx1"/>
            </w14:solidFill>
          </w14:textFill>
        </w:rPr>
        <w:t>二、基金的类别</w:t>
      </w:r>
      <w:bookmarkEnd w:id="80"/>
    </w:p>
    <w:p>
      <w:pPr>
        <w:spacing w:line="360" w:lineRule="auto"/>
        <w:ind w:left="796" w:leftChars="257" w:hanging="256"/>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债券型</w:t>
      </w:r>
      <w:r>
        <w:rPr>
          <w:bCs/>
          <w:color w:val="000000" w:themeColor="text1"/>
          <w:sz w:val="24"/>
          <w14:textFill>
            <w14:solidFill>
              <w14:schemeClr w14:val="tx1"/>
            </w14:solidFill>
          </w14:textFill>
        </w:rPr>
        <w:t>证券投资基金</w:t>
      </w:r>
    </w:p>
    <w:p>
      <w:pPr>
        <w:spacing w:line="360" w:lineRule="auto"/>
        <w:ind w:left="796" w:leftChars="257" w:hanging="256"/>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bookmarkStart w:id="81" w:name="_Toc79392575"/>
      <w:r>
        <w:rPr>
          <w:bCs/>
          <w:color w:val="000000" w:themeColor="text1"/>
          <w:sz w:val="24"/>
          <w14:textFill>
            <w14:solidFill>
              <w14:schemeClr w14:val="tx1"/>
            </w14:solidFill>
          </w14:textFill>
        </w:rPr>
        <w:t>三、基金的运作方式</w:t>
      </w:r>
    </w:p>
    <w:p>
      <w:pPr>
        <w:spacing w:line="360" w:lineRule="auto"/>
        <w:ind w:left="796" w:leftChars="257" w:hanging="256"/>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交易型</w:t>
      </w:r>
      <w:r>
        <w:rPr>
          <w:bCs/>
          <w:color w:val="000000" w:themeColor="text1"/>
          <w:sz w:val="24"/>
          <w14:textFill>
            <w14:solidFill>
              <w14:schemeClr w14:val="tx1"/>
            </w14:solidFill>
          </w14:textFill>
        </w:rPr>
        <w:t>开放式</w:t>
      </w:r>
    </w:p>
    <w:p>
      <w:pPr>
        <w:spacing w:line="360" w:lineRule="auto"/>
        <w:ind w:left="796" w:leftChars="257" w:hanging="256"/>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四、基金的投资目标</w:t>
      </w:r>
      <w:bookmarkEnd w:id="81"/>
    </w:p>
    <w:p>
      <w:pPr>
        <w:pStyle w:val="13"/>
        <w:rPr>
          <w:rFonts w:ascii="Times New Roman" w:eastAsia="宋体"/>
          <w:bCs/>
          <w:color w:val="000000" w:themeColor="text1"/>
          <w:sz w:val="24"/>
          <w14:textFill>
            <w14:solidFill>
              <w14:schemeClr w14:val="tx1"/>
            </w14:solidFill>
          </w14:textFill>
        </w:rPr>
      </w:pPr>
      <w:r>
        <w:rPr>
          <w:rFonts w:hint="eastAsia" w:ascii="Times New Roman" w:eastAsia="宋体"/>
          <w:bCs/>
          <w:color w:val="000000" w:themeColor="text1"/>
          <w:sz w:val="24"/>
          <w14:textFill>
            <w14:solidFill>
              <w14:schemeClr w14:val="tx1"/>
            </w14:solidFill>
          </w14:textFill>
        </w:rPr>
        <w:t>紧密跟踪标的指数，追求跟踪偏离度和跟踪误差的最小化。力争本基金的净值增长率与业绩比较基准之间的日均偏离度的绝对值不超过0</w:t>
      </w:r>
      <w:r>
        <w:rPr>
          <w:rFonts w:ascii="Times New Roman" w:eastAsia="宋体"/>
          <w:bCs/>
          <w:color w:val="000000" w:themeColor="text1"/>
          <w:sz w:val="24"/>
          <w14:textFill>
            <w14:solidFill>
              <w14:schemeClr w14:val="tx1"/>
            </w14:solidFill>
          </w14:textFill>
        </w:rPr>
        <w:t>.2</w:t>
      </w:r>
      <w:r>
        <w:rPr>
          <w:rFonts w:hint="eastAsia" w:ascii="Times New Roman" w:eastAsia="宋体"/>
          <w:bCs/>
          <w:color w:val="000000" w:themeColor="text1"/>
          <w:sz w:val="24"/>
          <w14:textFill>
            <w14:solidFill>
              <w14:schemeClr w14:val="tx1"/>
            </w14:solidFill>
          </w14:textFill>
        </w:rPr>
        <w:t>%，</w:t>
      </w:r>
      <w:r>
        <w:rPr>
          <w:rFonts w:ascii="Times New Roman" w:eastAsia="宋体"/>
          <w:bCs/>
          <w:color w:val="000000" w:themeColor="text1"/>
          <w:sz w:val="24"/>
          <w14:textFill>
            <w14:solidFill>
              <w14:schemeClr w14:val="tx1"/>
            </w14:solidFill>
          </w14:textFill>
        </w:rPr>
        <w:t>年化跟踪误差不超过2</w:t>
      </w:r>
      <w:r>
        <w:rPr>
          <w:rFonts w:hint="eastAsia" w:ascii="Times New Roman" w:eastAsia="宋体"/>
          <w:bCs/>
          <w:color w:val="000000" w:themeColor="text1"/>
          <w:sz w:val="24"/>
          <w14:textFill>
            <w14:solidFill>
              <w14:schemeClr w14:val="tx1"/>
            </w14:solidFill>
          </w14:textFill>
        </w:rPr>
        <w:t>%。</w:t>
      </w:r>
    </w:p>
    <w:p>
      <w:pPr>
        <w:pStyle w:val="13"/>
        <w:rPr>
          <w:rFonts w:ascii="Times New Roman" w:eastAsia="宋体"/>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五、基金标的指数</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本基金的标的指数为中证AAA科技创新公司债指数及其未来可能发生的变更</w:t>
      </w:r>
    </w:p>
    <w:p>
      <w:pPr>
        <w:pStyle w:val="13"/>
        <w:rPr>
          <w:rFonts w:ascii="Times New Roman" w:eastAsia="宋体"/>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bookmarkStart w:id="82" w:name="_Toc79392576"/>
      <w:r>
        <w:rPr>
          <w:rFonts w:hint="eastAsia"/>
          <w:bCs/>
          <w:color w:val="000000" w:themeColor="text1"/>
          <w:sz w:val="24"/>
          <w14:textFill>
            <w14:solidFill>
              <w14:schemeClr w14:val="tx1"/>
            </w14:solidFill>
          </w14:textFill>
        </w:rPr>
        <w:t>六</w:t>
      </w:r>
      <w:r>
        <w:rPr>
          <w:bCs/>
          <w:color w:val="000000" w:themeColor="text1"/>
          <w:sz w:val="24"/>
          <w14:textFill>
            <w14:solidFill>
              <w14:schemeClr w14:val="tx1"/>
            </w14:solidFill>
          </w14:textFill>
        </w:rPr>
        <w:t>、基金的最低募集份额总额</w:t>
      </w:r>
      <w:bookmarkEnd w:id="82"/>
      <w:r>
        <w:rPr>
          <w:rFonts w:hint="eastAsia"/>
          <w:bCs/>
          <w:color w:val="000000" w:themeColor="text1"/>
          <w:sz w:val="24"/>
          <w14:textFill>
            <w14:solidFill>
              <w14:schemeClr w14:val="tx1"/>
            </w14:solidFill>
          </w14:textFill>
        </w:rPr>
        <w:t>及最低募集金额</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本基金的最低募集份额总额为2亿份，基金募集金额不少于2亿元人民币。</w:t>
      </w:r>
    </w:p>
    <w:p>
      <w:pPr>
        <w:spacing w:line="360" w:lineRule="auto"/>
        <w:ind w:firstLine="480" w:firstLineChars="200"/>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bookmarkStart w:id="83" w:name="_Toc79392577"/>
      <w:r>
        <w:rPr>
          <w:rFonts w:hint="eastAsia"/>
          <w:bCs/>
          <w:color w:val="000000" w:themeColor="text1"/>
          <w:sz w:val="24"/>
          <w14:textFill>
            <w14:solidFill>
              <w14:schemeClr w14:val="tx1"/>
            </w14:solidFill>
          </w14:textFill>
        </w:rPr>
        <w:t>七</w:t>
      </w:r>
      <w:r>
        <w:rPr>
          <w:bCs/>
          <w:color w:val="000000" w:themeColor="text1"/>
          <w:sz w:val="24"/>
          <w14:textFill>
            <w14:solidFill>
              <w14:schemeClr w14:val="tx1"/>
            </w14:solidFill>
          </w14:textFill>
        </w:rPr>
        <w:t>、基金份额</w:t>
      </w:r>
      <w:r>
        <w:rPr>
          <w:rFonts w:hint="eastAsia"/>
          <w:bCs/>
          <w:color w:val="000000" w:themeColor="text1"/>
          <w:sz w:val="24"/>
          <w14:textFill>
            <w14:solidFill>
              <w14:schemeClr w14:val="tx1"/>
            </w14:solidFill>
          </w14:textFill>
        </w:rPr>
        <w:t>发售</w:t>
      </w:r>
      <w:r>
        <w:rPr>
          <w:bCs/>
          <w:color w:val="000000" w:themeColor="text1"/>
          <w:sz w:val="24"/>
          <w14:textFill>
            <w14:solidFill>
              <w14:schemeClr w14:val="tx1"/>
            </w14:solidFill>
          </w14:textFill>
        </w:rPr>
        <w:t>面值</w:t>
      </w:r>
      <w:bookmarkEnd w:id="83"/>
      <w:r>
        <w:rPr>
          <w:bCs/>
          <w:color w:val="000000" w:themeColor="text1"/>
          <w:sz w:val="24"/>
          <w14:textFill>
            <w14:solidFill>
              <w14:schemeClr w14:val="tx1"/>
            </w14:solidFill>
          </w14:textFill>
        </w:rPr>
        <w:t>和认购费用</w:t>
      </w:r>
    </w:p>
    <w:p>
      <w:pPr>
        <w:spacing w:line="360" w:lineRule="auto"/>
        <w:ind w:firstLine="48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本基金基金份额发售面值为人民币</w:t>
      </w:r>
      <w:r>
        <w:rPr>
          <w:rFonts w:hint="eastAsia"/>
          <w:bCs/>
          <w:color w:val="000000" w:themeColor="text1"/>
          <w:sz w:val="24"/>
          <w14:textFill>
            <w14:solidFill>
              <w14:schemeClr w14:val="tx1"/>
            </w14:solidFill>
          </w14:textFill>
        </w:rPr>
        <w:t>1.00</w:t>
      </w:r>
      <w:r>
        <w:rPr>
          <w:bCs/>
          <w:color w:val="000000" w:themeColor="text1"/>
          <w:sz w:val="24"/>
          <w14:textFill>
            <w14:solidFill>
              <w14:schemeClr w14:val="tx1"/>
            </w14:solidFill>
          </w14:textFill>
        </w:rPr>
        <w:t>元。</w:t>
      </w:r>
    </w:p>
    <w:p>
      <w:pPr>
        <w:autoSpaceDE w:val="0"/>
        <w:autoSpaceDN w:val="0"/>
        <w:adjustRightInd w:val="0"/>
        <w:spacing w:line="360" w:lineRule="auto"/>
        <w:ind w:firstLine="480" w:firstLineChars="200"/>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本基金认购费率按招募说明书</w:t>
      </w:r>
      <w:r>
        <w:rPr>
          <w:rFonts w:hint="eastAsia"/>
          <w:bCs/>
          <w:color w:val="000000" w:themeColor="text1"/>
          <w:sz w:val="24"/>
          <w14:textFill>
            <w14:solidFill>
              <w14:schemeClr w14:val="tx1"/>
            </w14:solidFill>
          </w14:textFill>
        </w:rPr>
        <w:t>及基金产品资料概要</w:t>
      </w:r>
      <w:r>
        <w:rPr>
          <w:bCs/>
          <w:color w:val="000000" w:themeColor="text1"/>
          <w:sz w:val="24"/>
          <w14:textFill>
            <w14:solidFill>
              <w14:schemeClr w14:val="tx1"/>
            </w14:solidFill>
          </w14:textFill>
        </w:rPr>
        <w:t>的规定执行。</w:t>
      </w:r>
    </w:p>
    <w:p>
      <w:pPr>
        <w:autoSpaceDE w:val="0"/>
        <w:autoSpaceDN w:val="0"/>
        <w:adjustRightInd w:val="0"/>
        <w:spacing w:line="360" w:lineRule="auto"/>
        <w:ind w:firstLine="480" w:firstLineChars="200"/>
        <w:jc w:val="left"/>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bookmarkStart w:id="84" w:name="_Toc79392578"/>
      <w:r>
        <w:rPr>
          <w:rFonts w:hint="eastAsia"/>
          <w:bCs/>
          <w:color w:val="000000" w:themeColor="text1"/>
          <w:sz w:val="24"/>
          <w14:textFill>
            <w14:solidFill>
              <w14:schemeClr w14:val="tx1"/>
            </w14:solidFill>
          </w14:textFill>
        </w:rPr>
        <w:t>八</w:t>
      </w:r>
      <w:r>
        <w:rPr>
          <w:bCs/>
          <w:color w:val="000000" w:themeColor="text1"/>
          <w:sz w:val="24"/>
          <w14:textFill>
            <w14:solidFill>
              <w14:schemeClr w14:val="tx1"/>
            </w14:solidFill>
          </w14:textFill>
        </w:rPr>
        <w:t>、基金存续期限</w:t>
      </w:r>
      <w:bookmarkEnd w:id="84"/>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不定期</w:t>
      </w:r>
    </w:p>
    <w:p>
      <w:pPr>
        <w:spacing w:line="360" w:lineRule="auto"/>
        <w:ind w:firstLine="480" w:firstLineChars="200"/>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九、增设新的份额类别或发行联接基金等相关业务</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在不违反法律法规及对基金份额持有人利益无实质性不利影响的前提下，基金管理人可根据基金发展需要，为本基金增设新的份额类别并制定相应的业务规则，或募集并管理以本基金为目标ETF的一只或多只联接基金，或开通场外申购、赎回等相关业务并制定、公布相应的规则等，无须召开基金份额持有人大会审议。</w:t>
      </w:r>
    </w:p>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kern w:val="44"/>
          <w:sz w:val="21"/>
          <w14:textFill>
            <w14:solidFill>
              <w14:schemeClr w14:val="tx1"/>
            </w14:solidFill>
          </w14:textFill>
        </w:rPr>
        <w:br w:type="page"/>
      </w:r>
      <w:bookmarkStart w:id="85" w:name="_Toc6714"/>
      <w:bookmarkStart w:id="86" w:name="_Toc90742390"/>
      <w:bookmarkStart w:id="87" w:name="_Toc16265"/>
      <w:bookmarkStart w:id="88" w:name="_Toc90742321"/>
      <w:bookmarkStart w:id="89" w:name="_Toc3266"/>
      <w:bookmarkStart w:id="90" w:name="_Toc90742688"/>
      <w:bookmarkStart w:id="91" w:name="_Toc29784"/>
      <w:bookmarkStart w:id="92" w:name="_Toc27189"/>
      <w:bookmarkStart w:id="93" w:name="_Toc27226"/>
      <w:bookmarkStart w:id="94" w:name="_Toc104716690"/>
      <w:bookmarkStart w:id="95" w:name="_Toc29948"/>
      <w:bookmarkStart w:id="96" w:name="_Toc22074"/>
      <w:bookmarkStart w:id="97" w:name="_Toc7151"/>
      <w:bookmarkStart w:id="98" w:name="_Toc15203"/>
      <w:r>
        <w:rPr>
          <w:rFonts w:ascii="Times New Roman"/>
          <w:color w:val="000000" w:themeColor="text1"/>
          <w:sz w:val="30"/>
          <w14:textFill>
            <w14:solidFill>
              <w14:schemeClr w14:val="tx1"/>
            </w14:solidFill>
          </w14:textFill>
        </w:rPr>
        <w:t>第四部分  基金份额的发售</w:t>
      </w:r>
      <w:bookmarkEnd w:id="85"/>
      <w:bookmarkEnd w:id="86"/>
      <w:bookmarkEnd w:id="87"/>
      <w:bookmarkEnd w:id="88"/>
      <w:bookmarkEnd w:id="89"/>
      <w:bookmarkEnd w:id="90"/>
      <w:bookmarkEnd w:id="91"/>
      <w:bookmarkEnd w:id="92"/>
      <w:bookmarkEnd w:id="93"/>
      <w:bookmarkEnd w:id="94"/>
      <w:bookmarkEnd w:id="95"/>
      <w:bookmarkEnd w:id="96"/>
      <w:bookmarkEnd w:id="97"/>
      <w:bookmarkEnd w:id="98"/>
    </w:p>
    <w:p>
      <w:pPr>
        <w:spacing w:line="360" w:lineRule="auto"/>
        <w:ind w:firstLine="420" w:firstLineChars="200"/>
        <w:rPr>
          <w:bCs/>
          <w:color w:val="000000" w:themeColor="text1"/>
          <w:kern w:val="4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一、基金份额的发售时间、发售方式、发售对象</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1、发售时间</w:t>
      </w:r>
    </w:p>
    <w:p>
      <w:pPr>
        <w:spacing w:line="360" w:lineRule="auto"/>
        <w:ind w:firstLine="480" w:firstLineChars="200"/>
        <w:rPr>
          <w:bCs/>
          <w:color w:val="000000" w:themeColor="text1"/>
          <w14:textFill>
            <w14:solidFill>
              <w14:schemeClr w14:val="tx1"/>
            </w14:solidFill>
          </w14:textFill>
        </w:rPr>
      </w:pPr>
      <w:r>
        <w:rPr>
          <w:bCs/>
          <w:color w:val="000000" w:themeColor="text1"/>
          <w:sz w:val="24"/>
          <w14:textFill>
            <w14:solidFill>
              <w14:schemeClr w14:val="tx1"/>
            </w14:solidFill>
          </w14:textFill>
        </w:rPr>
        <w:t>自基金份额发售之日起最长不得超过</w:t>
      </w:r>
      <w:r>
        <w:rPr>
          <w:rFonts w:hint="eastAsia"/>
          <w:bCs/>
          <w:color w:val="000000" w:themeColor="text1"/>
          <w:sz w:val="24"/>
          <w14:textFill>
            <w14:solidFill>
              <w14:schemeClr w14:val="tx1"/>
            </w14:solidFill>
          </w14:textFill>
        </w:rPr>
        <w:t>3</w:t>
      </w:r>
      <w:r>
        <w:rPr>
          <w:bCs/>
          <w:color w:val="000000" w:themeColor="text1"/>
          <w:sz w:val="24"/>
          <w14:textFill>
            <w14:solidFill>
              <w14:schemeClr w14:val="tx1"/>
            </w14:solidFill>
          </w14:textFill>
        </w:rPr>
        <w:t>个月，具体发售时间见基金份额发售公告。</w:t>
      </w:r>
    </w:p>
    <w:p>
      <w:pPr>
        <w:spacing w:line="360" w:lineRule="auto"/>
        <w:ind w:firstLine="480" w:firstLineChars="200"/>
        <w:rPr>
          <w:bCs/>
          <w:color w:val="000000" w:themeColor="text1"/>
          <w:sz w:val="24"/>
          <w14:textFill>
            <w14:solidFill>
              <w14:schemeClr w14:val="tx1"/>
            </w14:solidFill>
          </w14:textFill>
        </w:rPr>
      </w:pPr>
      <w:bookmarkStart w:id="99" w:name="_Hlk21866466"/>
      <w:r>
        <w:rPr>
          <w:bCs/>
          <w:color w:val="000000" w:themeColor="text1"/>
          <w:sz w:val="24"/>
          <w14:textFill>
            <w14:solidFill>
              <w14:schemeClr w14:val="tx1"/>
            </w14:solidFill>
          </w14:textFill>
        </w:rPr>
        <w:t>2、发售方式</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投资人可选择网上现金认购、网下现金认购2种方式认购本基金。</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网上现金认购是指投资人通过基金管理人指定的发售代理机构用深圳证券交易所网上系统以现金进行的认购；</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网下现金认购是指投资人通过基金管理人及其指定的发售代理机构以现金进行的认购；</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 投资人应当在基金管理人及其指定发售代理机构办理基金发售业务的营业场所，按基金管理人或发售代理机构提供的方式办理基金份额的认购。</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基金管理人、发售代理机构可接受的认购方式、办理基金发售业务的具体情况和联系方式，请参见基金份额发售公告或相关公告。</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各发售代理机构的具体名单见基金份额发售公告。基金管理人可以根据情况调整发售代理机构，并另行公告。</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3、发售对象</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符合法律法规规定的可投资于证券投资基金的个人投资者、机构投资者、合格境外投资者以及法律法规或中国证监会允许购买证券投资基金的其他投资人。</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二</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基金份额的认购</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1、认购费用</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本基金的认购费率由基金管理人决定，并在招募说明书及基金产品资料概要中列示。基金认购费用不列入基金财产。</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2、募集期认购资金的处理方式</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募集期间的认购资金存入专用账户，在基金募集行为结束前，任何人不得动用。</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w:t>
      </w:r>
      <w:bookmarkEnd w:id="99"/>
      <w:r>
        <w:rPr>
          <w:bCs/>
          <w:color w:val="000000" w:themeColor="text1"/>
          <w:sz w:val="24"/>
          <w14:textFill>
            <w14:solidFill>
              <w14:schemeClr w14:val="tx1"/>
            </w14:solidFill>
          </w14:textFill>
        </w:rPr>
        <w:t>基金认购份额的计算</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基金认购份额具体的计算方法在招募说明书中列示。</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4、基金份额认购的限制</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基金管理人可以对每个账户的认购和持有基金份额进行限制，具体限制请参看招募说明书或相关公告。</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w:t>
      </w:r>
      <w:r>
        <w:rPr>
          <w:bCs/>
          <w:color w:val="000000" w:themeColor="text1"/>
          <w:sz w:val="24"/>
          <w14:textFill>
            <w14:solidFill>
              <w14:schemeClr w14:val="tx1"/>
            </w14:solidFill>
          </w14:textFill>
        </w:rPr>
        <w:t>认购</w:t>
      </w:r>
      <w:r>
        <w:rPr>
          <w:rFonts w:hint="eastAsia"/>
          <w:bCs/>
          <w:color w:val="000000" w:themeColor="text1"/>
          <w:sz w:val="24"/>
          <w14:textFill>
            <w14:solidFill>
              <w14:schemeClr w14:val="tx1"/>
            </w14:solidFill>
          </w14:textFill>
        </w:rPr>
        <w:t>申请的确认</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销售机构对认购申请的受理并不代表该申请一定成功，而仅代表销售机构确实接收到认购申请。认购的确认以登记机构的确认结果为准。</w:t>
      </w:r>
      <w:r>
        <w:rPr>
          <w:rFonts w:hint="eastAsia"/>
          <w:bCs/>
          <w:color w:val="000000" w:themeColor="text1"/>
          <w:sz w:val="24"/>
          <w14:textFill>
            <w14:solidFill>
              <w14:schemeClr w14:val="tx1"/>
            </w14:solidFill>
          </w14:textFill>
        </w:rPr>
        <w:t>对于认购申请及认购份额的确认情况，投资人应及时查询并妥善行使合法权利。</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三</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基金份额认购</w:t>
      </w:r>
      <w:r>
        <w:rPr>
          <w:rFonts w:hint="eastAsia"/>
          <w:bCs/>
          <w:color w:val="000000" w:themeColor="text1"/>
          <w:sz w:val="24"/>
          <w14:textFill>
            <w14:solidFill>
              <w14:schemeClr w14:val="tx1"/>
            </w14:solidFill>
          </w14:textFill>
        </w:rPr>
        <w:t>的其他规定</w:t>
      </w:r>
    </w:p>
    <w:p>
      <w:pPr>
        <w:spacing w:line="360" w:lineRule="auto"/>
        <w:ind w:firstLine="480" w:firstLineChars="200"/>
        <w:rPr>
          <w:color w:val="000000" w:themeColor="text1"/>
          <w14:textFill>
            <w14:solidFill>
              <w14:schemeClr w14:val="tx1"/>
            </w14:solidFill>
          </w14:textFill>
        </w:rPr>
      </w:pPr>
      <w:r>
        <w:rPr>
          <w:rFonts w:hint="eastAsia"/>
          <w:bCs/>
          <w:color w:val="000000" w:themeColor="text1"/>
          <w:sz w:val="24"/>
          <w14:textFill>
            <w14:solidFill>
              <w14:schemeClr w14:val="tx1"/>
            </w14:solidFill>
          </w14:textFill>
        </w:rPr>
        <w:t>投资人认购原则、认购限额、认购费用、认购份额的计算公式、募集期利息的处理方式、认购时间安排、投资人认购应提交的文件和办理的手续等事项，由基金管理人根据相关法律法规以及本基金合同的规定确定，并在招募说明书或基金份额发售公告中披露。</w:t>
      </w:r>
    </w:p>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kern w:val="44"/>
          <w:sz w:val="21"/>
          <w14:textFill>
            <w14:solidFill>
              <w14:schemeClr w14:val="tx1"/>
            </w14:solidFill>
          </w14:textFill>
        </w:rPr>
        <w:br w:type="page"/>
      </w:r>
      <w:bookmarkStart w:id="100" w:name="_Toc4741"/>
      <w:bookmarkStart w:id="101" w:name="_Toc18329"/>
      <w:bookmarkStart w:id="102" w:name="_Toc21988"/>
      <w:bookmarkStart w:id="103" w:name="_Toc18797"/>
      <w:bookmarkStart w:id="104" w:name="_Toc17912"/>
      <w:bookmarkStart w:id="105" w:name="_Toc104716691"/>
      <w:bookmarkStart w:id="106" w:name="_Toc14893"/>
      <w:bookmarkStart w:id="107" w:name="_Toc18526"/>
      <w:bookmarkStart w:id="108" w:name="_Toc26986"/>
      <w:bookmarkStart w:id="109" w:name="_Toc141703885"/>
      <w:bookmarkStart w:id="110" w:name="_Toc1823"/>
      <w:bookmarkStart w:id="111" w:name="_Toc7848"/>
      <w:bookmarkStart w:id="112" w:name="_Toc139991735"/>
      <w:r>
        <w:rPr>
          <w:rFonts w:ascii="Times New Roman"/>
          <w:color w:val="000000" w:themeColor="text1"/>
          <w:sz w:val="30"/>
          <w14:textFill>
            <w14:solidFill>
              <w14:schemeClr w14:val="tx1"/>
            </w14:solidFill>
          </w14:textFill>
        </w:rPr>
        <w:t>第五部分  基金备案</w:t>
      </w:r>
      <w:bookmarkEnd w:id="100"/>
      <w:bookmarkEnd w:id="101"/>
      <w:bookmarkEnd w:id="102"/>
      <w:bookmarkEnd w:id="103"/>
      <w:bookmarkEnd w:id="104"/>
      <w:bookmarkEnd w:id="105"/>
      <w:bookmarkEnd w:id="106"/>
      <w:bookmarkEnd w:id="107"/>
      <w:bookmarkEnd w:id="108"/>
      <w:bookmarkEnd w:id="109"/>
      <w:bookmarkEnd w:id="110"/>
      <w:bookmarkEnd w:id="111"/>
      <w:bookmarkEnd w:id="112"/>
    </w:p>
    <w:p>
      <w:pPr>
        <w:spacing w:line="360" w:lineRule="auto"/>
        <w:ind w:firstLine="540"/>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一、基金备案的条件</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本基金自基金份额发售之日起</w:t>
      </w:r>
      <w:r>
        <w:rPr>
          <w:rFonts w:hint="eastAsia"/>
          <w:bCs/>
          <w:color w:val="000000" w:themeColor="text1"/>
          <w:sz w:val="24"/>
          <w14:textFill>
            <w14:solidFill>
              <w14:schemeClr w14:val="tx1"/>
            </w14:solidFill>
          </w14:textFill>
        </w:rPr>
        <w:t>3</w:t>
      </w:r>
      <w:r>
        <w:rPr>
          <w:bCs/>
          <w:color w:val="000000" w:themeColor="text1"/>
          <w:sz w:val="24"/>
          <w14:textFill>
            <w14:solidFill>
              <w14:schemeClr w14:val="tx1"/>
            </w14:solidFill>
          </w14:textFill>
        </w:rPr>
        <w:t>个月内，在基金募集份额总额不少于</w:t>
      </w:r>
      <w:r>
        <w:rPr>
          <w:rFonts w:hint="eastAsia"/>
          <w:bCs/>
          <w:color w:val="000000" w:themeColor="text1"/>
          <w:sz w:val="24"/>
          <w14:textFill>
            <w14:solidFill>
              <w14:schemeClr w14:val="tx1"/>
            </w14:solidFill>
          </w14:textFill>
        </w:rPr>
        <w:t>2</w:t>
      </w:r>
      <w:r>
        <w:rPr>
          <w:bCs/>
          <w:color w:val="000000" w:themeColor="text1"/>
          <w:sz w:val="24"/>
          <w14:textFill>
            <w14:solidFill>
              <w14:schemeClr w14:val="tx1"/>
            </w14:solidFill>
          </w14:textFill>
        </w:rPr>
        <w:t>亿份，基金募集金额不少于</w:t>
      </w:r>
      <w:r>
        <w:rPr>
          <w:rFonts w:hint="eastAsia"/>
          <w:bCs/>
          <w:color w:val="000000" w:themeColor="text1"/>
          <w:sz w:val="24"/>
          <w14:textFill>
            <w14:solidFill>
              <w14:schemeClr w14:val="tx1"/>
            </w14:solidFill>
          </w14:textFill>
        </w:rPr>
        <w:t>2</w:t>
      </w:r>
      <w:r>
        <w:rPr>
          <w:bCs/>
          <w:color w:val="000000" w:themeColor="text1"/>
          <w:sz w:val="24"/>
          <w14:textFill>
            <w14:solidFill>
              <w14:schemeClr w14:val="tx1"/>
            </w14:solidFill>
          </w14:textFill>
        </w:rPr>
        <w:t>亿元人民币且基金认购人数不少于</w:t>
      </w:r>
      <w:r>
        <w:rPr>
          <w:rFonts w:hint="eastAsia"/>
          <w:bCs/>
          <w:color w:val="000000" w:themeColor="text1"/>
          <w:sz w:val="24"/>
          <w14:textFill>
            <w14:solidFill>
              <w14:schemeClr w14:val="tx1"/>
            </w14:solidFill>
          </w14:textFill>
        </w:rPr>
        <w:t>200</w:t>
      </w:r>
      <w:r>
        <w:rPr>
          <w:bCs/>
          <w:color w:val="000000" w:themeColor="text1"/>
          <w:sz w:val="24"/>
          <w14:textFill>
            <w14:solidFill>
              <w14:schemeClr w14:val="tx1"/>
            </w14:solidFill>
          </w14:textFill>
        </w:rPr>
        <w:t>人的条件下，</w:t>
      </w:r>
      <w:r>
        <w:rPr>
          <w:rFonts w:hint="eastAsia"/>
          <w:bCs/>
          <w:color w:val="000000" w:themeColor="text1"/>
          <w:sz w:val="24"/>
          <w14:textFill>
            <w14:solidFill>
              <w14:schemeClr w14:val="tx1"/>
            </w14:solidFill>
          </w14:textFill>
        </w:rPr>
        <w:t>基金募集期届满或</w:t>
      </w:r>
      <w:r>
        <w:rPr>
          <w:bCs/>
          <w:color w:val="000000" w:themeColor="text1"/>
          <w:sz w:val="24"/>
          <w14:textFill>
            <w14:solidFill>
              <w14:schemeClr w14:val="tx1"/>
            </w14:solidFill>
          </w14:textFill>
        </w:rPr>
        <w:t>基金管理人依据法律法规及招募说明书可以决定停止基金发售，并在</w:t>
      </w:r>
      <w:r>
        <w:rPr>
          <w:rFonts w:hint="eastAsia"/>
          <w:bCs/>
          <w:color w:val="000000" w:themeColor="text1"/>
          <w:sz w:val="24"/>
          <w14:textFill>
            <w14:solidFill>
              <w14:schemeClr w14:val="tx1"/>
            </w14:solidFill>
          </w14:textFill>
        </w:rPr>
        <w:t>10</w:t>
      </w:r>
      <w:r>
        <w:rPr>
          <w:bCs/>
          <w:color w:val="000000" w:themeColor="text1"/>
          <w:sz w:val="24"/>
          <w14:textFill>
            <w14:solidFill>
              <w14:schemeClr w14:val="tx1"/>
            </w14:solidFill>
          </w14:textFill>
        </w:rPr>
        <w:t>日内聘请法定验资机构验资，自收到验资报告之日起</w:t>
      </w:r>
      <w:r>
        <w:rPr>
          <w:rFonts w:hint="eastAsia"/>
          <w:bCs/>
          <w:color w:val="000000" w:themeColor="text1"/>
          <w:sz w:val="24"/>
          <w14:textFill>
            <w14:solidFill>
              <w14:schemeClr w14:val="tx1"/>
            </w14:solidFill>
          </w14:textFill>
        </w:rPr>
        <w:t>10</w:t>
      </w:r>
      <w:r>
        <w:rPr>
          <w:bCs/>
          <w:color w:val="000000" w:themeColor="text1"/>
          <w:sz w:val="24"/>
          <w14:textFill>
            <w14:solidFill>
              <w14:schemeClr w14:val="tx1"/>
            </w14:solidFill>
          </w14:textFill>
        </w:rPr>
        <w:t>日内，向中国证监会办理基金备案手续。</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在基金募集行为结束前，任何人不得动用。</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二、基金合同不能生效时募集资金的处理方式</w:t>
      </w:r>
    </w:p>
    <w:p>
      <w:pPr>
        <w:spacing w:line="360" w:lineRule="auto"/>
        <w:ind w:firstLine="48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如果募集期限届满，未满足</w:t>
      </w:r>
      <w:r>
        <w:rPr>
          <w:rFonts w:hint="eastAsia"/>
          <w:bCs/>
          <w:color w:val="000000" w:themeColor="text1"/>
          <w:sz w:val="24"/>
          <w14:textFill>
            <w14:solidFill>
              <w14:schemeClr w14:val="tx1"/>
            </w14:solidFill>
          </w14:textFill>
        </w:rPr>
        <w:t>基金备案</w:t>
      </w:r>
      <w:r>
        <w:rPr>
          <w:bCs/>
          <w:color w:val="000000" w:themeColor="text1"/>
          <w:sz w:val="24"/>
          <w14:textFill>
            <w14:solidFill>
              <w14:schemeClr w14:val="tx1"/>
            </w14:solidFill>
          </w14:textFill>
        </w:rPr>
        <w:t>条件，基金管理人应当承担下列责任：</w:t>
      </w:r>
    </w:p>
    <w:p>
      <w:pPr>
        <w:spacing w:line="360" w:lineRule="auto"/>
        <w:ind w:firstLine="48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1、以其固有财产承担因募集行为而产生的债务和费用；</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2、在基金募集期限届满后</w:t>
      </w:r>
      <w:r>
        <w:rPr>
          <w:rFonts w:hint="eastAsia"/>
          <w:bCs/>
          <w:color w:val="000000" w:themeColor="text1"/>
          <w:sz w:val="24"/>
          <w14:textFill>
            <w14:solidFill>
              <w14:schemeClr w14:val="tx1"/>
            </w14:solidFill>
          </w14:textFill>
        </w:rPr>
        <w:t>30</w:t>
      </w:r>
      <w:r>
        <w:rPr>
          <w:bCs/>
          <w:color w:val="000000" w:themeColor="text1"/>
          <w:sz w:val="24"/>
          <w14:textFill>
            <w14:solidFill>
              <w14:schemeClr w14:val="tx1"/>
            </w14:solidFill>
          </w14:textFill>
        </w:rPr>
        <w:t>日内返还投资者已</w:t>
      </w:r>
      <w:r>
        <w:rPr>
          <w:rFonts w:hint="eastAsia"/>
          <w:bCs/>
          <w:color w:val="000000" w:themeColor="text1"/>
          <w:sz w:val="24"/>
          <w14:textFill>
            <w14:solidFill>
              <w14:schemeClr w14:val="tx1"/>
            </w14:solidFill>
          </w14:textFill>
        </w:rPr>
        <w:t>交</w:t>
      </w:r>
      <w:r>
        <w:rPr>
          <w:bCs/>
          <w:color w:val="000000" w:themeColor="text1"/>
          <w:sz w:val="24"/>
          <w14:textFill>
            <w14:solidFill>
              <w14:schemeClr w14:val="tx1"/>
            </w14:solidFill>
          </w14:textFill>
        </w:rPr>
        <w:t>纳的款项，并加计银行同期</w:t>
      </w:r>
      <w:r>
        <w:rPr>
          <w:rFonts w:hint="eastAsia"/>
          <w:bCs/>
          <w:color w:val="000000" w:themeColor="text1"/>
          <w:sz w:val="24"/>
          <w14:textFill>
            <w14:solidFill>
              <w14:schemeClr w14:val="tx1"/>
            </w14:solidFill>
          </w14:textFill>
        </w:rPr>
        <w:t>活期</w:t>
      </w:r>
      <w:r>
        <w:rPr>
          <w:bCs/>
          <w:color w:val="000000" w:themeColor="text1"/>
          <w:sz w:val="24"/>
          <w14:textFill>
            <w14:solidFill>
              <w14:schemeClr w14:val="tx1"/>
            </w14:solidFill>
          </w14:textFill>
        </w:rPr>
        <w:t>存款利息</w:t>
      </w:r>
      <w:r>
        <w:rPr>
          <w:rFonts w:hint="eastAsia"/>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3、如基金募集失败，基金管理人、基金托管人及</w:t>
      </w:r>
      <w:r>
        <w:rPr>
          <w:rFonts w:hint="eastAsia"/>
          <w:bCs/>
          <w:color w:val="000000" w:themeColor="text1"/>
          <w:sz w:val="24"/>
          <w14:textFill>
            <w14:solidFill>
              <w14:schemeClr w14:val="tx1"/>
            </w14:solidFill>
          </w14:textFill>
        </w:rPr>
        <w:t>发售代理机构</w:t>
      </w:r>
      <w:r>
        <w:rPr>
          <w:bCs/>
          <w:color w:val="000000" w:themeColor="text1"/>
          <w:sz w:val="24"/>
          <w14:textFill>
            <w14:solidFill>
              <w14:schemeClr w14:val="tx1"/>
            </w14:solidFill>
          </w14:textFill>
        </w:rPr>
        <w:t>不得请求报酬。基金管理人、基金托管人和</w:t>
      </w:r>
      <w:r>
        <w:rPr>
          <w:rFonts w:hint="eastAsia"/>
          <w:bCs/>
          <w:color w:val="000000" w:themeColor="text1"/>
          <w:sz w:val="24"/>
          <w14:textFill>
            <w14:solidFill>
              <w14:schemeClr w14:val="tx1"/>
            </w14:solidFill>
          </w14:textFill>
        </w:rPr>
        <w:t>发售代理机构</w:t>
      </w:r>
      <w:r>
        <w:rPr>
          <w:bCs/>
          <w:color w:val="000000" w:themeColor="text1"/>
          <w:sz w:val="24"/>
          <w14:textFill>
            <w14:solidFill>
              <w14:schemeClr w14:val="tx1"/>
            </w14:solidFill>
          </w14:textFill>
        </w:rPr>
        <w:t>为基金募集支付之一切费用应由各方各自承担。</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三、基金存续期内的基金份额持有人数量和资产规模</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《基金合同》生效后，</w:t>
      </w:r>
      <w:r>
        <w:rPr>
          <w:rFonts w:hint="eastAsia"/>
          <w:bCs/>
          <w:color w:val="000000" w:themeColor="text1"/>
          <w:sz w:val="24"/>
          <w14:textFill>
            <w14:solidFill>
              <w14:schemeClr w14:val="tx1"/>
            </w14:solidFill>
          </w14:textFill>
        </w:rPr>
        <w:t>连续20个工作日出现</w:t>
      </w:r>
      <w:r>
        <w:rPr>
          <w:bCs/>
          <w:color w:val="000000" w:themeColor="text1"/>
          <w:sz w:val="24"/>
          <w14:textFill>
            <w14:solidFill>
              <w14:schemeClr w14:val="tx1"/>
            </w14:solidFill>
          </w14:textFill>
        </w:rPr>
        <w:t>基金份额持有人数量不满</w:t>
      </w:r>
      <w:r>
        <w:rPr>
          <w:rFonts w:hint="eastAsia"/>
          <w:bCs/>
          <w:color w:val="000000" w:themeColor="text1"/>
          <w:sz w:val="24"/>
          <w14:textFill>
            <w14:solidFill>
              <w14:schemeClr w14:val="tx1"/>
            </w14:solidFill>
          </w14:textFill>
        </w:rPr>
        <w:t>200</w:t>
      </w:r>
      <w:r>
        <w:rPr>
          <w:bCs/>
          <w:color w:val="000000" w:themeColor="text1"/>
          <w:sz w:val="24"/>
          <w14:textFill>
            <w14:solidFill>
              <w14:schemeClr w14:val="tx1"/>
            </w14:solidFill>
          </w14:textFill>
        </w:rPr>
        <w:t>人或者基金资产净值低于</w:t>
      </w:r>
      <w:r>
        <w:rPr>
          <w:rFonts w:hint="eastAsia"/>
          <w:bCs/>
          <w:color w:val="000000" w:themeColor="text1"/>
          <w:sz w:val="24"/>
          <w14:textFill>
            <w14:solidFill>
              <w14:schemeClr w14:val="tx1"/>
            </w14:solidFill>
          </w14:textFill>
        </w:rPr>
        <w:t>5000万</w:t>
      </w:r>
      <w:r>
        <w:rPr>
          <w:bCs/>
          <w:color w:val="000000" w:themeColor="text1"/>
          <w:sz w:val="24"/>
          <w14:textFill>
            <w14:solidFill>
              <w14:schemeClr w14:val="tx1"/>
            </w14:solidFill>
          </w14:textFill>
        </w:rPr>
        <w:t>元</w:t>
      </w:r>
      <w:r>
        <w:rPr>
          <w:rFonts w:hint="eastAsia"/>
          <w:bCs/>
          <w:color w:val="000000" w:themeColor="text1"/>
          <w:sz w:val="24"/>
          <w14:textFill>
            <w14:solidFill>
              <w14:schemeClr w14:val="tx1"/>
            </w14:solidFill>
          </w14:textFill>
        </w:rPr>
        <w:t>情形</w:t>
      </w:r>
      <w:r>
        <w:rPr>
          <w:bCs/>
          <w:color w:val="000000" w:themeColor="text1"/>
          <w:sz w:val="24"/>
          <w14:textFill>
            <w14:solidFill>
              <w14:schemeClr w14:val="tx1"/>
            </w14:solidFill>
          </w14:textFill>
        </w:rPr>
        <w:t>的，基金管理人应当</w:t>
      </w:r>
      <w:r>
        <w:rPr>
          <w:rFonts w:hint="eastAsia"/>
          <w:bCs/>
          <w:color w:val="000000" w:themeColor="text1"/>
          <w:sz w:val="24"/>
          <w14:textFill>
            <w14:solidFill>
              <w14:schemeClr w14:val="tx1"/>
            </w14:solidFill>
          </w14:textFill>
        </w:rPr>
        <w:t>在定期报告中予以披露</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连续60个工作日出现前述情形的，基金管理人应当在10个工作日内向中国证监会报告并提出解决方案，如持续运作、转换运作方式、与其他基金合并或者终止基金合同等，并在6个月内召集基金份额持有人大会。</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法律法规</w:t>
      </w:r>
      <w:r>
        <w:rPr>
          <w:rFonts w:hint="eastAsia"/>
          <w:bCs/>
          <w:color w:val="000000" w:themeColor="text1"/>
          <w:sz w:val="24"/>
          <w14:textFill>
            <w14:solidFill>
              <w14:schemeClr w14:val="tx1"/>
            </w14:solidFill>
          </w14:textFill>
        </w:rPr>
        <w:t>或中国证监会</w:t>
      </w:r>
      <w:r>
        <w:rPr>
          <w:bCs/>
          <w:color w:val="000000" w:themeColor="text1"/>
          <w:sz w:val="24"/>
          <w14:textFill>
            <w14:solidFill>
              <w14:schemeClr w14:val="tx1"/>
            </w14:solidFill>
          </w14:textFill>
        </w:rPr>
        <w:t>另有规定时，从其规定。</w:t>
      </w:r>
    </w:p>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kern w:val="44"/>
          <w:sz w:val="21"/>
          <w14:textFill>
            <w14:solidFill>
              <w14:schemeClr w14:val="tx1"/>
            </w14:solidFill>
          </w14:textFill>
        </w:rPr>
        <w:br w:type="page"/>
      </w:r>
      <w:bookmarkStart w:id="113" w:name="_Toc398561796"/>
      <w:bookmarkStart w:id="114" w:name="_Toc394478732"/>
      <w:bookmarkStart w:id="115" w:name="_Toc408484699"/>
      <w:bookmarkStart w:id="116" w:name="_Toc104716692"/>
      <w:bookmarkStart w:id="117" w:name="_Toc497918628"/>
      <w:bookmarkStart w:id="118" w:name="_Toc123102453"/>
      <w:bookmarkStart w:id="119" w:name="_Toc139991736"/>
      <w:bookmarkStart w:id="120" w:name="_Toc123112234"/>
      <w:bookmarkStart w:id="121" w:name="_Toc98560352"/>
      <w:bookmarkStart w:id="122" w:name="_Toc1427"/>
      <w:bookmarkStart w:id="123" w:name="_Toc48649707"/>
      <w:bookmarkStart w:id="124" w:name="_Toc141703886"/>
      <w:bookmarkStart w:id="125" w:name="_Toc23261"/>
      <w:bookmarkStart w:id="126" w:name="_Toc7920"/>
      <w:bookmarkStart w:id="127" w:name="_Toc123051452"/>
      <w:bookmarkStart w:id="128" w:name="_Toc79392606"/>
      <w:bookmarkStart w:id="129" w:name="_Toc1270"/>
      <w:bookmarkStart w:id="130" w:name="_Toc23822"/>
      <w:bookmarkStart w:id="131" w:name="_Toc20733"/>
      <w:bookmarkStart w:id="132" w:name="_Toc610"/>
      <w:bookmarkStart w:id="133" w:name="_Toc4003"/>
      <w:bookmarkStart w:id="134" w:name="_Toc17244"/>
      <w:bookmarkStart w:id="135" w:name="_Toc10463"/>
      <w:r>
        <w:rPr>
          <w:rFonts w:hint="eastAsia" w:ascii="Times New Roman"/>
          <w:color w:val="000000" w:themeColor="text1"/>
          <w:sz w:val="30"/>
          <w14:textFill>
            <w14:solidFill>
              <w14:schemeClr w14:val="tx1"/>
            </w14:solidFill>
          </w14:textFill>
        </w:rPr>
        <w:t>第六部分  基金份额折算与变更登记</w:t>
      </w:r>
      <w:bookmarkEnd w:id="113"/>
      <w:bookmarkEnd w:id="114"/>
      <w:bookmarkEnd w:id="115"/>
      <w:bookmarkEnd w:id="116"/>
      <w:bookmarkEnd w:id="117"/>
    </w:p>
    <w:p>
      <w:pPr>
        <w:adjustRightInd w:val="0"/>
        <w:snapToGrid w:val="0"/>
        <w:spacing w:line="360" w:lineRule="auto"/>
        <w:ind w:firstLine="422" w:firstLineChars="201"/>
        <w:rPr>
          <w:rFonts w:ascii="Arial" w:hAnsi="Arial" w:cs="Arial"/>
          <w:color w:val="000000" w:themeColor="text1"/>
          <w:kern w:val="0"/>
          <w:szCs w:val="21"/>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基金合同生效后，本基金可以进行份额折算。</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一、基金份额折算的时间</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基金管理人应事先确定基金份额折算基准日，并依照《信息披露办法》的有关规定进行公告。</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二、基金份额折算的原则</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基金份额折算由基金管理人向登记机构申请办理，并由登记机构进行基金份额的变更登记。基金份额折算的比例和具体安排见基金管理人届时发布的相关公告。</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因尾数处理而产生的损益不视为实质性影响）。基金份额折算后，基金份额持有人将按照折算后的基金份额享有权利并承担义务。</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如果基金份额折算过程中发生不可抗力或遇特殊情况无法办理，基金管理人可延迟办理基金份额折算。</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三、基金份额折算的方法</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基金份额折算的具体方法在份额折算公告中列示。</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四、在不违反法律法规及不损害基金份额持有人利益的前提下，</w:t>
      </w:r>
      <w:r>
        <w:rPr>
          <w:rFonts w:hint="eastAsia"/>
          <w:bCs/>
          <w:color w:val="000000" w:themeColor="text1"/>
          <w:sz w:val="24"/>
          <w14:textFill>
            <w14:solidFill>
              <w14:schemeClr w14:val="tx1"/>
            </w14:solidFill>
          </w14:textFill>
        </w:rPr>
        <w:t>如未来本基金增加基金份额的类别，</w:t>
      </w:r>
      <w:r>
        <w:rPr>
          <w:bCs/>
          <w:color w:val="000000" w:themeColor="text1"/>
          <w:sz w:val="24"/>
          <w14:textFill>
            <w14:solidFill>
              <w14:schemeClr w14:val="tx1"/>
            </w14:solidFill>
          </w14:textFill>
        </w:rPr>
        <w:t>基金管理人在实施份额折算时，可对全部份额类别进行折算，也可根据需要只对其中部分类别的份额进行折算。</w:t>
      </w:r>
    </w:p>
    <w:p>
      <w:pPr>
        <w:pStyle w:val="2"/>
        <w:spacing w:before="0" w:after="0"/>
        <w:ind w:firstLine="420"/>
        <w:jc w:val="center"/>
        <w:rPr>
          <w:rFonts w:ascii="Times New Roman"/>
          <w:color w:val="000000" w:themeColor="text1"/>
          <w:sz w:val="30"/>
          <w14:textFill>
            <w14:solidFill>
              <w14:schemeClr w14:val="tx1"/>
            </w14:solidFill>
          </w14:textFill>
        </w:rPr>
      </w:pPr>
      <w:r>
        <w:rPr>
          <w:b w:val="0"/>
          <w:bCs/>
          <w:color w:val="000000" w:themeColor="text1"/>
          <w14:textFill>
            <w14:solidFill>
              <w14:schemeClr w14:val="tx1"/>
            </w14:solidFill>
          </w14:textFill>
        </w:rPr>
        <w:br w:type="page"/>
      </w:r>
      <w:bookmarkStart w:id="136" w:name="_Toc104716693"/>
      <w:bookmarkStart w:id="137" w:name="_Toc408484700"/>
      <w:bookmarkStart w:id="138" w:name="_Toc497918629"/>
      <w:r>
        <w:rPr>
          <w:rFonts w:hint="eastAsia" w:ascii="Times New Roman"/>
          <w:color w:val="000000" w:themeColor="text1"/>
          <w:sz w:val="30"/>
          <w14:textFill>
            <w14:solidFill>
              <w14:schemeClr w14:val="tx1"/>
            </w14:solidFill>
          </w14:textFill>
        </w:rPr>
        <w:t>第七部分  基金份额的上市交易</w:t>
      </w:r>
      <w:bookmarkEnd w:id="136"/>
      <w:bookmarkEnd w:id="137"/>
      <w:bookmarkEnd w:id="138"/>
    </w:p>
    <w:p>
      <w:pPr>
        <w:spacing w:line="360" w:lineRule="auto"/>
        <w:ind w:firstLine="480" w:firstLineChars="200"/>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一、基金份额的上市</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基金合同生效后，具备下列条件的，基金管理人可依据《深圳证券交易所证券投资基金上市规则》，向深圳证券交易所申请基金份额上市：</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1、本基金场内资产净值不低于2亿元；</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2、本基金场内份额持有人不少于1,000人；</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3、深圳证券交易所规定的其他条件。</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基金份额上市前，基金管理人应与深圳证券交易所签订上市协议书。基金获准在深圳证券交易所上市的，基金管理人应按照相关规定发布基金份额上市交易公告书。</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二、基金份额的上市交易</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基金份额在深圳证券交易所的上市交易，应遵照《深圳证券交易所交易规则》、《深圳证券交易所证券投资基金上市规则》、《深圳证券交易所证券投资基金交易和申购赎回实施细则》等有关规定。</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三、上市交易的停复牌、暂停上市、恢复上市和终止上市</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基金份额在深圳证券交易所的</w:t>
      </w:r>
      <w:r>
        <w:rPr>
          <w:rFonts w:hint="eastAsia"/>
          <w:bCs/>
          <w:color w:val="000000" w:themeColor="text1"/>
          <w:sz w:val="24"/>
          <w14:textFill>
            <w14:solidFill>
              <w14:schemeClr w14:val="tx1"/>
            </w14:solidFill>
          </w14:textFill>
        </w:rPr>
        <w:t>停复牌、暂停上市、恢复上市和终止上市等需遵照《深圳证券交易所交易规则》、《深圳证券交易所证券投资基金上市规则》、《深圳证券交易所证券投资基金交易和申购赎回实施细则》等有关规定。</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当本基金发生证券交易所相关规则所规定的因不再具备上市条件而被证券交易所终止上市的情形时，本基金将由交易型开放式基金变更为跟踪标的指数的非上市的开放式基金，变更后基金名称为“大成中证AAA科技创新公司债指数证券投资基金”，基金管理人可变更本基金的登记结算机构、申购与赎回的安排等条款并根据变更为非上市指数基金的情况相应调整基金合同，而无需召开基金份额持有人大会。基金终止上市后，场内基金份额的处理规则由基金管理人提前制定并公告。若届时本基金管理人已有以该指数作为标的指数的指数基金，则本基金将本着维护投资者合法权益的原则，履行适当的程序后选取其他合适的指数作为标的指数。有关本基金变更标的指数的相关事项见基金管理人届时相关公告。届时，基金管理人可变更本基金的登记机构并相应调整申购赎回等业务规则。</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四、基金份额参考净值的计算与公告</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管理人可以计算或委托其他机构计算并发布基金份额参考净值(IOPV)，供投资人交易、申购、赎回基金份额时参考。具体的计算方法与发布情况届时由基金管理人予以公告。深圳证券交易所和基金管理人可以调整基金份额参考净值计算公式、公告频率或决定不再披露IOPV，并予以公告。</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五、相关法律法规、中国证监会、登记机构及深圳证券交易所对基金上市交易的规则等相关规定内容进行调整的，本基金合同相应予以修改，并按照新规定执行，且此项修改无需召开基金份额持有人大会。</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六、若深圳证券交易所、中国证券登记结算有限责任公司增加了基金上市交易的新功能，基金管理人可以在履行适当的程序后增加相应功能，无需召开基金份额持有人大会。</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七、在不违反法律法规且不损害基金份额持有人利益的前提下，本基金可以申请在包括境外交易所在内的其他证券交易所上市交易，无需召开基金份额持有人大会。</w:t>
      </w:r>
    </w:p>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kern w:val="44"/>
          <w:sz w:val="21"/>
          <w14:textFill>
            <w14:solidFill>
              <w14:schemeClr w14:val="tx1"/>
            </w14:solidFill>
          </w14:textFill>
        </w:rPr>
        <w:br w:type="page"/>
      </w:r>
      <w:bookmarkStart w:id="139" w:name="_Toc104716694"/>
      <w:r>
        <w:rPr>
          <w:rFonts w:ascii="Times New Roman"/>
          <w:color w:val="000000" w:themeColor="text1"/>
          <w:sz w:val="30"/>
          <w14:textFill>
            <w14:solidFill>
              <w14:schemeClr w14:val="tx1"/>
            </w14:solidFill>
          </w14:textFill>
        </w:rPr>
        <w:t>第</w:t>
      </w:r>
      <w:r>
        <w:rPr>
          <w:rFonts w:hint="eastAsia" w:ascii="Times New Roman"/>
          <w:color w:val="000000" w:themeColor="text1"/>
          <w:sz w:val="30"/>
          <w14:textFill>
            <w14:solidFill>
              <w14:schemeClr w14:val="tx1"/>
            </w14:solidFill>
          </w14:textFill>
        </w:rPr>
        <w:t>八</w:t>
      </w:r>
      <w:r>
        <w:rPr>
          <w:rFonts w:ascii="Times New Roman"/>
          <w:color w:val="000000" w:themeColor="text1"/>
          <w:sz w:val="30"/>
          <w14:textFill>
            <w14:solidFill>
              <w14:schemeClr w14:val="tx1"/>
            </w14:solidFill>
          </w14:textFill>
        </w:rPr>
        <w:t>部分  基金份额的申购与赎回</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9"/>
    </w:p>
    <w:p>
      <w:pPr>
        <w:spacing w:line="360" w:lineRule="auto"/>
        <w:ind w:firstLine="540"/>
        <w:rPr>
          <w:bCs/>
          <w:color w:val="000000" w:themeColor="text1"/>
          <w:sz w:val="24"/>
          <w14:textFill>
            <w14:solidFill>
              <w14:schemeClr w14:val="tx1"/>
            </w14:solidFill>
          </w14:textFill>
        </w:rPr>
      </w:pP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目前采用现金申购、赎回的方式运作，申购、赎回对价包括现金替代、现金差额及其他对价。未来在证券交易所和登记结算机构系统及其他相关条件允许的情况下，基金管理人在履行适当程序后，可决定调整本基金的申购赎回方式或增加本基金的申购赎回方式，相应的业务规则、具体业务的办理时间及办理方式等相关事项届时将另行公告，无需召开基金份额持有人大会审议。</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一、申购与赎回场所</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本基金投资人应当通过申购、赎回代理券商办理基金申购、赎回业务的营业场所或按申购、赎回代理券商提供的其他方式办理本基金的申购和赎回。</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基金管理人在开始申购、赎回业务前公告申购、赎回代理券商的名单，并可依据实际情况变更申购、赎回代理券商并在基金管理人网站公示。</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在法律法规、基金合同及未来条件允许的情况下，基金管理人直销机构可以开通申购赎回业务，具体业务的办理时间及办理方式基金管理人将另行公告。</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二、申购与赎回的开放日及时间</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、开放日及开放时间</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资人在开放日办理基金份额的申购和赎回，具体办理时间为上海证券交易所和深圳证券交易所开放交易的每个工作日的交易时间，但基金管理人根据法律法规、中国证监会的要求或基金合同的规定公告暂停申购、赎回时除外。</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基金合同生效后，若出现新的证券</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期货交易市场、证券</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期货交易所交易时间变更或其他特殊情况，基金管理人将视情况对前述开放日及开放时间进行相应的调整，但应在实施日前依照《信息披露办法》的有关规定在规定媒介上公告。</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、申购与赎回开始日及业务办理时间</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基金管理人</w:t>
      </w:r>
      <w:r>
        <w:rPr>
          <w:rFonts w:hint="eastAsia"/>
          <w:bCs/>
          <w:color w:val="000000" w:themeColor="text1"/>
          <w:sz w:val="24"/>
          <w14:textFill>
            <w14:solidFill>
              <w14:schemeClr w14:val="tx1"/>
            </w14:solidFill>
          </w14:textFill>
        </w:rPr>
        <w:t>可根据实际情况依法决定本基金开始办理申购的具体日期</w:t>
      </w:r>
      <w:r>
        <w:rPr>
          <w:bCs/>
          <w:color w:val="000000" w:themeColor="text1"/>
          <w:sz w:val="24"/>
          <w14:textFill>
            <w14:solidFill>
              <w14:schemeClr w14:val="tx1"/>
            </w14:solidFill>
          </w14:textFill>
        </w:rPr>
        <w:t>，具体业务办理时间在申购开始公告中规定。</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基金管理人自基金合同生效之日起不超过3</w:t>
      </w:r>
      <w:r>
        <w:rPr>
          <w:rFonts w:hint="eastAsia"/>
          <w:bCs/>
          <w:color w:val="000000" w:themeColor="text1"/>
          <w:sz w:val="24"/>
          <w14:textFill>
            <w14:solidFill>
              <w14:schemeClr w14:val="tx1"/>
            </w14:solidFill>
          </w14:textFill>
        </w:rPr>
        <w:t>个月</w:t>
      </w:r>
      <w:r>
        <w:rPr>
          <w:bCs/>
          <w:color w:val="000000" w:themeColor="text1"/>
          <w:sz w:val="24"/>
          <w14:textFill>
            <w14:solidFill>
              <w14:schemeClr w14:val="tx1"/>
            </w14:solidFill>
          </w14:textFill>
        </w:rPr>
        <w:t>开始办理赎回，具体业务办理时间在赎回开始公告中规定。</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本基金可在基金上市交易之前开始办理申购、赎回，但在基金申请上市期间，可暂停办理申购、赎回。</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在确定申购开始与赎回开始时间后，基金管理人应在申购、赎回开放日前依照《信息披露办法》的有关规定在规定媒介上公告申购与赎回的开始时间。</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三、申购与赎回的原则</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、“份额申购、份额赎回”原则，即申购、赎回均以份额申请；</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、本基金的申购对价、赎回对价包括现金替代、现金差额和</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或其他对价；</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r>
        <w:rPr>
          <w:rFonts w:hint="eastAsia"/>
          <w:bCs/>
          <w:color w:val="000000" w:themeColor="text1"/>
          <w:sz w:val="24"/>
          <w14:textFill>
            <w14:solidFill>
              <w14:schemeClr w14:val="tx1"/>
            </w14:solidFill>
          </w14:textFill>
        </w:rPr>
        <w:t>、申购、赎回申请提交后不得撤销；</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r>
        <w:rPr>
          <w:rFonts w:hint="eastAsia"/>
          <w:bCs/>
          <w:color w:val="000000" w:themeColor="text1"/>
          <w:sz w:val="24"/>
          <w14:textFill>
            <w14:solidFill>
              <w14:schemeClr w14:val="tx1"/>
            </w14:solidFill>
          </w14:textFill>
        </w:rPr>
        <w:t>、申购、赎回应遵守业务规则及其他相关规定；如深圳证券交易所、中国证券登记结算有限责任公司修改或更新业务规则及其他相关规定并适用于本基金的，则按照新的规则执行，并在招募说明书中进行更新；</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r>
        <w:rPr>
          <w:rFonts w:hint="eastAsia"/>
          <w:bCs/>
          <w:color w:val="000000" w:themeColor="text1"/>
          <w:sz w:val="24"/>
          <w14:textFill>
            <w14:solidFill>
              <w14:schemeClr w14:val="tx1"/>
            </w14:solidFill>
          </w14:textFill>
        </w:rPr>
        <w:t>、办理申购、赎回业务时，应当遵循基金份额持有人利益优先原则，确保投资者的合法权益不受损害并得到公平对待；</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r>
        <w:rPr>
          <w:rFonts w:hint="eastAsia"/>
          <w:bCs/>
          <w:color w:val="000000" w:themeColor="text1"/>
          <w:sz w:val="24"/>
          <w14:textFill>
            <w14:solidFill>
              <w14:schemeClr w14:val="tx1"/>
            </w14:solidFill>
          </w14:textFill>
        </w:rPr>
        <w:t>、未来，在条件允许的情况下基金管理人可以调整基金的申购赎回方式及申购对价、赎回对价组成。</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基金管理人可在法律法规允许的情况下，对上述原则进行调整。基金管理人必须在新原则开始实施前依照《信息披露办法》的有关规定在规定媒介上公告。</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四、申购与赎回的程序</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、申购和赎回的申请方式</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投资人必须根据申购、赎回代理券商或基金管理人规定的程序，在开放日的具体业务办理时间内提出申购或赎回的申请。</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资人交付申购对价，申购成立；登记机构确认申请时，申购生效。投资人在提交赎回申请时有足够的基金份额余额和现金，则赎回成立，登记机构确认赎回时，赎回生效。投资人在提交申购申请时须按申购赎回清单的规定备足申购对价，投资人在提交赎回申请时须持有足够的基金份额余额和现金，否则所提交的申购、赎回申请不成立。</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、申购和赎回申请的确认</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本基金申购和赎回的确认适用《业务规则》的规定，具体在招募说明书中列示。</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如投资人未能提供符合要求的申购对价，则申购申请不成立。如投资人持有的符合要求的基金份额不足或未能根据要求准备足额的现金，或本基金投资组合内不具备足额的符合要求的赎回对价，或投资人提交的赎回申请超过基金管理人设定的当日净赎回份额上限、当日累计赎回份额上限、单个账户当日净赎回份额上限或单个账户当日累计赎回份额上限，则赎回申请不成立或失败。</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申购、赎回代理券商对申购、赎回申请的受理并不代表该申请一定成功，而仅代表申购、赎回代理券商确实接收到该申请。申购、赎回的确认以登记机构的确认结果为准。对于申购、赎回申请的确认情况，投资人应及时查询并妥善行使合法权利。</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若深圳证券交易所和中国证券登记结算有限责任公司推出可适用于本基金的新的清算交收与登记模式并引入新的申购、赎回方式，在履行适当程序后，本基金管理人将根据新的业务规则新增或调整申购和赎回申请的确认方式，届时将发布公告予以披露并对本基金的招募说明书予以更新。</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r>
        <w:rPr>
          <w:rFonts w:hint="eastAsia"/>
          <w:bCs/>
          <w:color w:val="000000" w:themeColor="text1"/>
          <w:sz w:val="24"/>
          <w14:textFill>
            <w14:solidFill>
              <w14:schemeClr w14:val="tx1"/>
            </w14:solidFill>
          </w14:textFill>
        </w:rPr>
        <w:t>、申购和赎回的清算交收与登记</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的申购和赎回的清算交收与登记规则适用业务规则和参与各方相关协议的有关规定，详见招募说明书规定。如果登记机构和基金管理人在清算交收时发现不能正常履约的情形，则依据业务规则和参与各方相关协议的有关规定进行处理。</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若深圳证券交易所和中国证券登记结算有限责任公司推出可适用于本基金的新的清算交收与登记模式并引入新的申购、赎回方式，在履行适当程序后，本基金管理人有权调整本基金的清算交收与登记模式及申购、赎回方式，或新增本基金的清算交收与登记模式并引入新的申购、赎回方式，详见“九、基金清算交收与登记模式的调整或新增”。</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资者应按照本基金合同的约定和申购、赎回代理券商的规定按时足额支付应付的现金差额和现金替代退补款。因投资者原因导致现金差额或现金替代退补款未能按时足额交收的，基金管理人有权为基金的利益向该投资者追偿，并要求其承担由此导致的其他基金份额持有人或基金资产的损失。</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登记机构和基金管理人可在法律法规允许的范围内，对申购与赎回的程序以及清算交收和登记的办理时间、方式、处理规则等进行调整，并最迟于开始实施日前按照《信息披露办法》的有关规定在规定媒介公告。</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如遇基金投资的主要市场休市或暂停交易、登记公司系统故障、交易所或交易市场数据传输延迟、通讯系统故障、银行数据交换系统故障或其它非基金管理人及基金托管人所能控制的因素影响业务处理流程，则赎回现金替代款的支付时间可相应顺延。在发生本基金合同载明的其他暂停赎回或延缓支付赎回对价的情形时，赎回现金替代款的支付办法参照本基金合同有关条款处理。</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五、申购与赎回的数量限制</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、投资者申购、赎回的基金份额需为最小申购赎回单位的整数倍。最小申购赎回单位由基金管理人确定和调整。具体规定详见招募说明书的规定或相关公告。</w:t>
      </w:r>
      <w:r>
        <w:rPr>
          <w:bCs/>
          <w:color w:val="000000" w:themeColor="text1"/>
          <w:sz w:val="24"/>
          <w14:textFill>
            <w14:solidFill>
              <w14:schemeClr w14:val="tx1"/>
            </w14:solidFill>
          </w14:textFill>
        </w:rPr>
        <w:t xml:space="preserve"> </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基金管理人可根据基金运作情况、市场变化以及投资者需求等因素对基金的最小申购赎回单位进行调整，并在调整实施前依照《信息披露办法》的有关规定在规定媒介公告。</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、基金管理人可以规定本基金当日申购份额及当日赎回份额上限或其他限制，具体规定详见申购赎回清单或相关公告。</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r>
        <w:rPr>
          <w:rFonts w:hint="eastAsia"/>
          <w:bCs/>
          <w:color w:val="000000" w:themeColor="text1"/>
          <w:sz w:val="24"/>
          <w14:textFill>
            <w14:solidFill>
              <w14:schemeClr w14:val="tx1"/>
            </w14:solidFill>
          </w14:textFill>
        </w:rPr>
        <w:t>、基金管理人可以规定投资人每个交易账户的最低基金份额余额，具体规定请参见招募说明书或相关公告。</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r>
        <w:rPr>
          <w:rFonts w:hint="eastAsia"/>
          <w:bCs/>
          <w:color w:val="000000" w:themeColor="text1"/>
          <w:sz w:val="24"/>
          <w14:textFill>
            <w14:solidFill>
              <w14:schemeClr w14:val="tx1"/>
            </w14:solidFill>
          </w14:textFill>
        </w:rPr>
        <w:t>、基金管理人可以规定单个投资人累计持有的基金份额上限，具体规定请参见招募说明书或相关公告。</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r>
        <w:rPr>
          <w:rFonts w:hint="eastAsia"/>
          <w:bCs/>
          <w:color w:val="000000" w:themeColor="text1"/>
          <w:sz w:val="24"/>
          <w14:textFill>
            <w14:solidFill>
              <w14:schemeClr w14:val="tx1"/>
            </w14:solidFill>
          </w14:textFill>
        </w:rPr>
        <w:t>、当接受申购申请对存量基金份额持有人利益构成潜在重大不利影响时，基金管理人可以采取设定单一投资者申购份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r>
        <w:rPr>
          <w:rFonts w:hint="eastAsia"/>
          <w:bCs/>
          <w:color w:val="000000" w:themeColor="text1"/>
          <w:sz w:val="24"/>
          <w14:textFill>
            <w14:solidFill>
              <w14:schemeClr w14:val="tx1"/>
            </w14:solidFill>
          </w14:textFill>
        </w:rPr>
        <w:t>、基金管理人可根据市场情况，在法律法规允许的情况下，调整上述规定数量或比例等限制。基金管理人必须在调整实施前依照《信息披露办法》的有关规定在规定媒介上公告（其中上述第</w:t>
      </w: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3</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4</w:t>
      </w:r>
      <w:r>
        <w:rPr>
          <w:rFonts w:hint="eastAsia"/>
          <w:bCs/>
          <w:color w:val="000000" w:themeColor="text1"/>
          <w:sz w:val="24"/>
          <w14:textFill>
            <w14:solidFill>
              <w14:schemeClr w14:val="tx1"/>
            </w14:solidFill>
          </w14:textFill>
        </w:rPr>
        <w:t>条可由基金管理人于前一交易日设定并在当日基金申购赎回清单上公布，而不必在规定媒介上公告也无需报中国证监会备案）。</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六、申购与赎回对价和费用</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、本基金份额净值的计算，保留到小数点后</w:t>
      </w:r>
      <w:r>
        <w:rPr>
          <w:bCs/>
          <w:color w:val="000000" w:themeColor="text1"/>
          <w:sz w:val="24"/>
          <w14:textFill>
            <w14:solidFill>
              <w14:schemeClr w14:val="tx1"/>
            </w14:solidFill>
          </w14:textFill>
        </w:rPr>
        <w:t>4</w:t>
      </w:r>
      <w:r>
        <w:rPr>
          <w:rFonts w:hint="eastAsia"/>
          <w:bCs/>
          <w:color w:val="000000" w:themeColor="text1"/>
          <w:sz w:val="24"/>
          <w14:textFill>
            <w14:solidFill>
              <w14:schemeClr w14:val="tx1"/>
            </w14:solidFill>
          </w14:textFill>
        </w:rPr>
        <w:t>位，小数点后第</w:t>
      </w:r>
      <w:r>
        <w:rPr>
          <w:bCs/>
          <w:color w:val="000000" w:themeColor="text1"/>
          <w:sz w:val="24"/>
          <w14:textFill>
            <w14:solidFill>
              <w14:schemeClr w14:val="tx1"/>
            </w14:solidFill>
          </w14:textFill>
        </w:rPr>
        <w:t>5</w:t>
      </w:r>
      <w:r>
        <w:rPr>
          <w:rFonts w:hint="eastAsia"/>
          <w:bCs/>
          <w:color w:val="000000" w:themeColor="text1"/>
          <w:sz w:val="24"/>
          <w14:textFill>
            <w14:solidFill>
              <w14:schemeClr w14:val="tx1"/>
            </w14:solidFill>
          </w14:textFill>
        </w:rPr>
        <w:t>位四舍五入，由此产生的收益或损失由基金财产承担。本基金</w:t>
      </w:r>
      <w:r>
        <w:rPr>
          <w:bCs/>
          <w:color w:val="000000" w:themeColor="text1"/>
          <w:sz w:val="24"/>
          <w14:textFill>
            <w14:solidFill>
              <w14:schemeClr w14:val="tx1"/>
            </w14:solidFill>
          </w14:textFill>
        </w:rPr>
        <w:t>T</w:t>
      </w:r>
      <w:r>
        <w:rPr>
          <w:rFonts w:hint="eastAsia"/>
          <w:bCs/>
          <w:color w:val="000000" w:themeColor="text1"/>
          <w:sz w:val="24"/>
          <w14:textFill>
            <w14:solidFill>
              <w14:schemeClr w14:val="tx1"/>
            </w14:solidFill>
          </w14:textFill>
        </w:rPr>
        <w:t>日的基金份额净值在当日收市后计算，并按照基金合同的约定公告。遇特殊情况，经履行适当程序，可以适当延迟计算或公告。</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、申购对价、赎回对价根据申购赎回清单和投资者申购、赎回的基金份额数额确定。申购对价是指投资人申购基金份额时应交付的现金替代、现金差额和</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或其他对价。赎回对价是指投资人赎回基金份额时，基金管理人应交付给投资人的现金替代、现金差额和</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或其他对价。</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r>
        <w:rPr>
          <w:rFonts w:hint="eastAsia"/>
          <w:bCs/>
          <w:color w:val="000000" w:themeColor="text1"/>
          <w:sz w:val="24"/>
          <w14:textFill>
            <w14:solidFill>
              <w14:schemeClr w14:val="tx1"/>
            </w14:solidFill>
          </w14:textFill>
        </w:rPr>
        <w:t>、申购赎回清单由基金管理人编制。</w:t>
      </w:r>
      <w:r>
        <w:rPr>
          <w:bCs/>
          <w:color w:val="000000" w:themeColor="text1"/>
          <w:sz w:val="24"/>
          <w14:textFill>
            <w14:solidFill>
              <w14:schemeClr w14:val="tx1"/>
            </w14:solidFill>
          </w14:textFill>
        </w:rPr>
        <w:t>T</w:t>
      </w:r>
      <w:r>
        <w:rPr>
          <w:rFonts w:hint="eastAsia"/>
          <w:bCs/>
          <w:color w:val="000000" w:themeColor="text1"/>
          <w:sz w:val="24"/>
          <w14:textFill>
            <w14:solidFill>
              <w14:schemeClr w14:val="tx1"/>
            </w14:solidFill>
          </w14:textFill>
        </w:rPr>
        <w:t>日的申购赎回清单在当日深圳证券交易所开市前公告。如遇特殊情况，可以适当延迟计算或公告。申购赎回清单的内容与格式详见《招募说明书》或相关公告。</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r>
        <w:rPr>
          <w:rFonts w:hint="eastAsia"/>
          <w:bCs/>
          <w:color w:val="000000" w:themeColor="text1"/>
          <w:sz w:val="24"/>
          <w14:textFill>
            <w14:solidFill>
              <w14:schemeClr w14:val="tx1"/>
            </w14:solidFill>
          </w14:textFill>
        </w:rPr>
        <w:t>、投资者在申购或赎回本基金时，申购赎回代理券商可按照一定标准收取佣金，其中包含证券交易所、登记机构等收取的相关费用，具体规定详见招募说明书或相关公告。</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r>
        <w:rPr>
          <w:rFonts w:hint="eastAsia"/>
          <w:bCs/>
          <w:color w:val="000000" w:themeColor="text1"/>
          <w:sz w:val="24"/>
          <w14:textFill>
            <w14:solidFill>
              <w14:schemeClr w14:val="tx1"/>
            </w14:solidFill>
          </w14:textFill>
        </w:rPr>
        <w:t>、基金管理人可以在不违反相关法律法规的情况下对基金份额净值、申购赎回清单计算和公告时间进行调整并提前公告。</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七、拒绝或暂停申购的情形及处理方法</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发生下列情况时，基金管理人可拒绝或暂停接受投资人的申购申请：</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、因不可抗力导致基金无法正常运作、基金管理人无法受理或办理基金份额持有人的申购申请；</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、证券交易所交易时间非正常停市，导致基金管理人无法计算当日基金资产净值或无法进行证券交易；</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r>
        <w:rPr>
          <w:rFonts w:hint="eastAsia"/>
          <w:bCs/>
          <w:color w:val="000000" w:themeColor="text1"/>
          <w:sz w:val="24"/>
          <w14:textFill>
            <w14:solidFill>
              <w14:schemeClr w14:val="tx1"/>
            </w14:solidFill>
          </w14:textFill>
        </w:rPr>
        <w:t>、发生基金合同规定的暂停基金资产估值情况时；</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r>
        <w:rPr>
          <w:rFonts w:hint="eastAsia"/>
          <w:bCs/>
          <w:color w:val="000000" w:themeColor="text1"/>
          <w:sz w:val="24"/>
          <w14:textFill>
            <w14:solidFill>
              <w14:schemeClr w14:val="tx1"/>
            </w14:solidFill>
          </w14:textFill>
        </w:rPr>
        <w:t>、基金管理人开市前因异常情况无法公布申购赎回清单、基金份额净值或者</w:t>
      </w:r>
      <w:r>
        <w:rPr>
          <w:bCs/>
          <w:color w:val="000000" w:themeColor="text1"/>
          <w:sz w:val="24"/>
          <w14:textFill>
            <w14:solidFill>
              <w14:schemeClr w14:val="tx1"/>
            </w14:solidFill>
          </w14:textFill>
        </w:rPr>
        <w:t>IOPV</w:t>
      </w:r>
      <w:r>
        <w:rPr>
          <w:rFonts w:hint="eastAsia"/>
          <w:bCs/>
          <w:color w:val="000000" w:themeColor="text1"/>
          <w:sz w:val="24"/>
          <w14:textFill>
            <w14:solidFill>
              <w14:schemeClr w14:val="tx1"/>
            </w14:solidFill>
          </w14:textFill>
        </w:rPr>
        <w:t>计算错误、申购赎回清单编制错误；</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r>
        <w:rPr>
          <w:rFonts w:hint="eastAsia"/>
          <w:bCs/>
          <w:color w:val="000000" w:themeColor="text1"/>
          <w:sz w:val="24"/>
          <w14:textFill>
            <w14:solidFill>
              <w14:schemeClr w14:val="tx1"/>
            </w14:solidFill>
          </w14:textFill>
        </w:rPr>
        <w:t>、接受某笔或某些申购申请可能会影响或损害现有基金份额持有人利益时；</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r>
        <w:rPr>
          <w:rFonts w:hint="eastAsia"/>
          <w:bCs/>
          <w:color w:val="000000" w:themeColor="text1"/>
          <w:sz w:val="24"/>
          <w14:textFill>
            <w14:solidFill>
              <w14:schemeClr w14:val="tx1"/>
            </w14:solidFill>
          </w14:textFill>
        </w:rPr>
        <w:t>、相关证券交易所、申购赎回代理券商、登记机构等因异常情况无法办理申购；或者指数编制单位、相关证券交易所等因异常情况使申购赎回清单无法编制或编制不当。上述异常情况指基金管理人无法预见并不可控制的情形，包括但不限于系统故障、网络故障、通讯故障、电力故障、数据错误等；</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r>
        <w:rPr>
          <w:rFonts w:hint="eastAsia"/>
          <w:bCs/>
          <w:color w:val="000000" w:themeColor="text1"/>
          <w:sz w:val="24"/>
          <w14:textFill>
            <w14:solidFill>
              <w14:schemeClr w14:val="tx1"/>
            </w14:solidFill>
          </w14:textFill>
        </w:rPr>
        <w:t>、基金管理人可根据市场情况在申购赎回清单中设置申购上限，当一笔新的申购申请被确认成功，会使本基金当日申购超过申购赎回清单中规定的申购上限时，该笔申购申请将被拒绝。当一笔新的申购申请被确认成功，使本基金总规模超过基金管理人规定的本基金总规模上限时；或使本基金单日申购份额或净申购比例超过基金管理人规定的当日申购份额或净申购比例上限时；或该投资人累计持有的份额超过单个投资人累计持有的份额上限时；或该投资人当日申购份额超过单个投资人单日或单笔申购份额上限时，该笔申购申请将被拒绝；</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w:t>
      </w:r>
      <w:r>
        <w:rPr>
          <w:rFonts w:hint="eastAsia"/>
          <w:bCs/>
          <w:color w:val="000000" w:themeColor="text1"/>
          <w:sz w:val="24"/>
          <w14:textFill>
            <w14:solidFill>
              <w14:schemeClr w14:val="tx1"/>
            </w14:solidFill>
          </w14:textFill>
        </w:rPr>
        <w:t>、当前一估值日基金资产净值</w:t>
      </w:r>
      <w:r>
        <w:rPr>
          <w:bCs/>
          <w:color w:val="000000" w:themeColor="text1"/>
          <w:sz w:val="24"/>
          <w14:textFill>
            <w14:solidFill>
              <w14:schemeClr w14:val="tx1"/>
            </w14:solidFill>
          </w14:textFill>
        </w:rPr>
        <w:t>50%</w:t>
      </w:r>
      <w:r>
        <w:rPr>
          <w:rFonts w:hint="eastAsia"/>
          <w:bCs/>
          <w:color w:val="000000" w:themeColor="text1"/>
          <w:sz w:val="24"/>
          <w14:textFill>
            <w14:solidFill>
              <w14:schemeClr w14:val="tx1"/>
            </w14:solidFill>
          </w14:textFill>
        </w:rPr>
        <w:t>以上的资产出现无可参考的活跃市场价格且采用估值技术仍导致公允价值存在重大不确定性时，经与基金托管人协商确认后，基金管理人应当暂停接受基金申购申请；</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9</w:t>
      </w:r>
      <w:r>
        <w:rPr>
          <w:rFonts w:hint="eastAsia"/>
          <w:bCs/>
          <w:color w:val="000000" w:themeColor="text1"/>
          <w:sz w:val="24"/>
          <w14:textFill>
            <w14:solidFill>
              <w14:schemeClr w14:val="tx1"/>
            </w14:solidFill>
          </w14:textFill>
        </w:rPr>
        <w:t>、基金资产规模过大，使基金管理人无法找到合适的投资品种，或其他可能对基金业绩产生负面影响，或发生其他损害现有基金份额持有人利益的情形；</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10</w:t>
      </w:r>
      <w:r>
        <w:rPr>
          <w:rFonts w:hint="eastAsia"/>
          <w:bCs/>
          <w:color w:val="000000" w:themeColor="text1"/>
          <w:sz w:val="24"/>
          <w14:textFill>
            <w14:solidFill>
              <w14:schemeClr w14:val="tx1"/>
            </w14:solidFill>
          </w14:textFill>
        </w:rPr>
        <w:t>、法律法规、深圳证券交易所规定或中国证监会认定的其他情形。</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在发生暂停申购的情形之一时，本基金的申购和赎回可能同时暂停。</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发生上述</w:t>
      </w: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3</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4</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6</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8</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9</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10</w:t>
      </w:r>
      <w:r>
        <w:rPr>
          <w:rFonts w:hint="eastAsia"/>
          <w:bCs/>
          <w:color w:val="000000" w:themeColor="text1"/>
          <w:sz w:val="24"/>
          <w14:textFill>
            <w14:solidFill>
              <w14:schemeClr w14:val="tx1"/>
            </w14:solidFill>
          </w14:textFill>
        </w:rPr>
        <w:t>项情形之一且基金管理人决定暂停申购时，基金管理人应根据有关规定在规定媒介刊登暂停申购公告。如果投资人的申购申请被拒绝，被拒绝的申购对价将退还给投资人。</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在暂停申购的情况消除时，基金管理人应及时恢复申购业务的办理并予以公告。</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八、暂停赎回或延缓支付赎回对价的情形及处理方式</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发生下列情形时，基金管理人可暂停接受投资人的赎回申请或延缓支付赎回对价：</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、因不可抗力导致基金管理人无法受理或办理基金份额持有人的赎回申请；</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、证券交易所交易时间非正常停市，导致基金管理人无法计算当日基金资产净值或无法进行证券交易；</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r>
        <w:rPr>
          <w:rFonts w:hint="eastAsia"/>
          <w:bCs/>
          <w:color w:val="000000" w:themeColor="text1"/>
          <w:sz w:val="24"/>
          <w14:textFill>
            <w14:solidFill>
              <w14:schemeClr w14:val="tx1"/>
            </w14:solidFill>
          </w14:textFill>
        </w:rPr>
        <w:t>、发生基金合同规定的暂停基金资产估值情况时；</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r>
        <w:rPr>
          <w:rFonts w:hint="eastAsia"/>
          <w:bCs/>
          <w:color w:val="000000" w:themeColor="text1"/>
          <w:sz w:val="24"/>
          <w14:textFill>
            <w14:solidFill>
              <w14:schemeClr w14:val="tx1"/>
            </w14:solidFill>
          </w14:textFill>
        </w:rPr>
        <w:t>、基金管理人开市前因异常情况无法公布申购赎回清单、基金份额净值或者</w:t>
      </w:r>
      <w:r>
        <w:rPr>
          <w:bCs/>
          <w:color w:val="000000" w:themeColor="text1"/>
          <w:sz w:val="24"/>
          <w14:textFill>
            <w14:solidFill>
              <w14:schemeClr w14:val="tx1"/>
            </w14:solidFill>
          </w14:textFill>
        </w:rPr>
        <w:t>IOPV</w:t>
      </w:r>
      <w:r>
        <w:rPr>
          <w:rFonts w:hint="eastAsia"/>
          <w:bCs/>
          <w:color w:val="000000" w:themeColor="text1"/>
          <w:sz w:val="24"/>
          <w14:textFill>
            <w14:solidFill>
              <w14:schemeClr w14:val="tx1"/>
            </w14:solidFill>
          </w14:textFill>
        </w:rPr>
        <w:t>计算错误、申购赎回清单编制错误；</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r>
        <w:rPr>
          <w:rFonts w:hint="eastAsia"/>
          <w:bCs/>
          <w:color w:val="000000" w:themeColor="text1"/>
          <w:sz w:val="24"/>
          <w14:textFill>
            <w14:solidFill>
              <w14:schemeClr w14:val="tx1"/>
            </w14:solidFill>
          </w14:textFill>
        </w:rPr>
        <w:t>、相关证券交易所、申购赎回代理券商、登记机构等因异常情况无法办理赎回；或者指数编制单位、相关证券交易所等因异常情况使申购赎回清单无法编制或编制不当。上述异常情况指基金管理人无法预见并不可控制的情形，包括但不限于系统故障、网络故障、通讯故障、电力故障、数据错误等；</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r>
        <w:rPr>
          <w:rFonts w:hint="eastAsia"/>
          <w:bCs/>
          <w:color w:val="000000" w:themeColor="text1"/>
          <w:sz w:val="24"/>
          <w14:textFill>
            <w14:solidFill>
              <w14:schemeClr w14:val="tx1"/>
            </w14:solidFill>
          </w14:textFill>
        </w:rPr>
        <w:t>、发生继续接受赎回申请将损害现有基金份额持有人利益的情形时，基金管理人可暂停接受投资人的赎回申请；</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r>
        <w:rPr>
          <w:rFonts w:hint="eastAsia"/>
          <w:bCs/>
          <w:color w:val="000000" w:themeColor="text1"/>
          <w:sz w:val="24"/>
          <w14:textFill>
            <w14:solidFill>
              <w14:schemeClr w14:val="tx1"/>
            </w14:solidFill>
          </w14:textFill>
        </w:rPr>
        <w:t>、</w:t>
      </w:r>
      <w:r>
        <w:rPr>
          <w:rFonts w:hint="eastAsia"/>
          <w:bCs/>
          <w:sz w:val="24"/>
        </w:rPr>
        <w:t>当日赎回申请超过基金管理人根据市场情况设置的当日净赎回份额上限、当日累计赎回份额上限、单个账户当日净赎回份额上限或单个账户当日累计赎回份额上限</w:t>
      </w:r>
      <w:r>
        <w:rPr>
          <w:rFonts w:hint="eastAsia"/>
          <w:bCs/>
          <w:color w:val="000000" w:themeColor="text1"/>
          <w:sz w:val="24"/>
          <w14:textFill>
            <w14:solidFill>
              <w14:schemeClr w14:val="tx1"/>
            </w14:solidFill>
          </w14:textFill>
        </w:rPr>
        <w:t>；</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w:t>
      </w:r>
      <w:r>
        <w:rPr>
          <w:rFonts w:hint="eastAsia"/>
          <w:bCs/>
          <w:color w:val="000000" w:themeColor="text1"/>
          <w:sz w:val="24"/>
          <w14:textFill>
            <w14:solidFill>
              <w14:schemeClr w14:val="tx1"/>
            </w14:solidFill>
          </w14:textFill>
        </w:rPr>
        <w:t>、当前一估值日基金资产净值</w:t>
      </w:r>
      <w:r>
        <w:rPr>
          <w:bCs/>
          <w:color w:val="000000" w:themeColor="text1"/>
          <w:sz w:val="24"/>
          <w14:textFill>
            <w14:solidFill>
              <w14:schemeClr w14:val="tx1"/>
            </w14:solidFill>
          </w14:textFill>
        </w:rPr>
        <w:t>50%</w:t>
      </w:r>
      <w:r>
        <w:rPr>
          <w:rFonts w:hint="eastAsia"/>
          <w:bCs/>
          <w:color w:val="000000" w:themeColor="text1"/>
          <w:sz w:val="24"/>
          <w14:textFill>
            <w14:solidFill>
              <w14:schemeClr w14:val="tx1"/>
            </w14:solidFill>
          </w14:textFill>
        </w:rPr>
        <w:t>以上的资产出现无可参考的活跃市场价格且采用估值技术仍导致公允价值存在重大不确定性时，经与基金托管人协商确认后，基金管理人应当延缓支付赎回对价或暂停接受基金赎回申请；</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9</w:t>
      </w:r>
      <w:r>
        <w:rPr>
          <w:rFonts w:hint="eastAsia"/>
          <w:bCs/>
          <w:color w:val="000000" w:themeColor="text1"/>
          <w:sz w:val="24"/>
          <w14:textFill>
            <w14:solidFill>
              <w14:schemeClr w14:val="tx1"/>
            </w14:solidFill>
          </w14:textFill>
        </w:rPr>
        <w:t>、法律法规、深圳证券交易所规定或中国证监会认定的其他情形。</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发生上述除第</w:t>
      </w:r>
      <w:r>
        <w:rPr>
          <w:bCs/>
          <w:color w:val="000000" w:themeColor="text1"/>
          <w:sz w:val="24"/>
          <w14:textFill>
            <w14:solidFill>
              <w14:schemeClr w14:val="tx1"/>
            </w14:solidFill>
          </w14:textFill>
        </w:rPr>
        <w:t>7</w:t>
      </w:r>
      <w:r>
        <w:rPr>
          <w:rFonts w:hint="eastAsia"/>
          <w:bCs/>
          <w:color w:val="000000" w:themeColor="text1"/>
          <w:sz w:val="24"/>
          <w14:textFill>
            <w14:solidFill>
              <w14:schemeClr w14:val="tx1"/>
            </w14:solidFill>
          </w14:textFill>
        </w:rPr>
        <w:t xml:space="preserve"> 项以外的情形之一且基金管理人决定暂停赎回或延缓支付赎回对价情形时，基金管理人应按规定报中国证监会备案，基金管理人应当根据有关规定在规定媒介上刊登暂停赎回公告。已接受的赎回申请，基金管理人应足额支付，基金份额持有人在申请赎回时可事先选择将当日可能未获受理部分予以撤销，如暂时不能足额支付，未支付部分可延期支付。在暂停赎回的情况消除时，基金管理人应及时恢复赎回业务的办理并公告。</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在发生暂停赎回的情形之一时，本基金的申购和赎回可能同时暂停。</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九、基金清算交收与登记模式的调整或新增</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若深圳证券交易所和中国证券登记结算有限责任公司推出适用于本基金的新的清算交收与登记模式并引入新的申购、赎回方式，在履行适当程序后，本基金管理人有权调整本基金的清算交收与登记模式及申购、赎回方式，或新增本基金的清算交收与登记模式并引入新的申购、赎回方式，届时将发布公告予以披露并对本基金的招募说明书予以更新。</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十、基金份额拆分与合并</w:t>
      </w:r>
      <w:r>
        <w:rPr>
          <w:bCs/>
          <w:color w:val="000000" w:themeColor="text1"/>
          <w:sz w:val="24"/>
          <w14:textFill>
            <w14:solidFill>
              <w14:schemeClr w14:val="tx1"/>
            </w14:solidFill>
          </w14:textFill>
        </w:rPr>
        <w:t xml:space="preserve"> </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基金成立后，在法律法规规定的范围内，在履行适当程序后，本基金可实施基金份额拆分或合并。</w:t>
      </w:r>
      <w:r>
        <w:rPr>
          <w:bCs/>
          <w:color w:val="000000" w:themeColor="text1"/>
          <w:sz w:val="24"/>
          <w14:textFill>
            <w14:solidFill>
              <w14:schemeClr w14:val="tx1"/>
            </w14:solidFill>
          </w14:textFill>
        </w:rPr>
        <w:t xml:space="preserve"> </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拆分或合并是在保持现有基金份额持有人资产总值不变的前提下，改变基金份额净值和持有基金份额的对应关系，是重新列示基金资产的一种方式。基金份额拆分或合并对基金份额持有人的权益无实质性影响。</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十一、基金份额的转让</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在法律法规允许且条件具备的情况下，如对存量基金份额持有人利益无实质性不利影响，基金管理人经履行相关程序后可受理基金份额持有人通过中国证监会认可的证券交易所以外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十二、基金份额的非交易过户、冻结、解冻等其他业务</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基金份额的登记机构可依据其业务规则，受理基金的非交易过户、冻结与解冻等业务，并收取一定的手续费用。</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十三、联接基金的特殊申购</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若基金管理人推出以本基金为目标</w:t>
      </w:r>
      <w:r>
        <w:rPr>
          <w:bCs/>
          <w:color w:val="000000" w:themeColor="text1"/>
          <w:sz w:val="24"/>
          <w14:textFill>
            <w14:solidFill>
              <w14:schemeClr w14:val="tx1"/>
            </w14:solidFill>
          </w14:textFill>
        </w:rPr>
        <w:t>ETF</w:t>
      </w:r>
      <w:r>
        <w:rPr>
          <w:rFonts w:hint="eastAsia"/>
          <w:bCs/>
          <w:color w:val="000000" w:themeColor="text1"/>
          <w:sz w:val="24"/>
          <w14:textFill>
            <w14:solidFill>
              <w14:schemeClr w14:val="tx1"/>
            </w14:solidFill>
          </w14:textFill>
        </w:rPr>
        <w:t>的联接基金，本基金可根据实际情况需要向本基金的联接基金开通特殊申购，不收取申购费用。具体见招募说明书。</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十四、其他</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、基金管理人指定的代理机构可依据法律法规和本基金合同的规定开展其他服务，双方需签订书面委托代理协议。</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、对于符合</w:t>
      </w:r>
      <w:r>
        <w:rPr>
          <w:rFonts w:hint="eastAsia" w:ascii="宋体" w:hAnsi="宋体"/>
          <w:color w:val="000000" w:themeColor="text1"/>
          <w:sz w:val="24"/>
          <w14:textFill>
            <w14:solidFill>
              <w14:schemeClr w14:val="tx1"/>
            </w14:solidFill>
          </w14:textFill>
        </w:rPr>
        <w:t>深圳证券交易所</w:t>
      </w:r>
      <w:r>
        <w:rPr>
          <w:rFonts w:hint="eastAsia"/>
          <w:bCs/>
          <w:color w:val="000000" w:themeColor="text1"/>
          <w:sz w:val="24"/>
          <w14:textFill>
            <w14:solidFill>
              <w14:schemeClr w14:val="tx1"/>
            </w14:solidFill>
          </w14:textFill>
        </w:rPr>
        <w:t>要求的特殊机构投资者，基金管理人可在不违反法律法规且对基金份额持有人利益无实质性不利影响的情况下，安排专门的申购方式。</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r>
        <w:rPr>
          <w:rFonts w:hint="eastAsia"/>
          <w:bCs/>
          <w:color w:val="000000" w:themeColor="text1"/>
          <w:sz w:val="24"/>
          <w14:textFill>
            <w14:solidFill>
              <w14:schemeClr w14:val="tx1"/>
            </w14:solidFill>
          </w14:textFill>
        </w:rPr>
        <w:t>、基金管理人可以在不违反法律法规规定且对基金份额持有人利益无实质性不利影响的情况下，调整基金申购赎回方式或申购赎回对价组成，并提前公告。</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r>
        <w:rPr>
          <w:rFonts w:hint="eastAsia"/>
          <w:bCs/>
          <w:color w:val="000000" w:themeColor="text1"/>
          <w:sz w:val="24"/>
          <w14:textFill>
            <w14:solidFill>
              <w14:schemeClr w14:val="tx1"/>
            </w14:solidFill>
          </w14:textFill>
        </w:rPr>
        <w:t>、未来在条件允许的情况下，基金管理人可以在场内开通本基金人民币现金申购、赎回以外的方式办理本基金的申购、赎回业务，或者开通本基金的场外申购、赎回等业务，相关业务的适用条件、业务办理时间、业务规则等相关事项届时将另行约定并公告。</w:t>
      </w:r>
    </w:p>
    <w:p>
      <w:pPr>
        <w:spacing w:line="440" w:lineRule="atLeas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十五、基金管理人可在法律法规允许的范围内，在对基金份额持有人无实质性不利影响的前提下，根据市场情况对上述申购与赎回的安排进行补充和调整并提前公告。</w:t>
      </w:r>
    </w:p>
    <w:p>
      <w:pPr>
        <w:spacing w:line="360" w:lineRule="auto"/>
        <w:ind w:firstLine="480" w:firstLineChars="200"/>
        <w:rPr>
          <w:bCs/>
          <w:color w:val="000000" w:themeColor="text1"/>
          <w:sz w:val="24"/>
          <w14:textFill>
            <w14:solidFill>
              <w14:schemeClr w14:val="tx1"/>
            </w14:solidFill>
          </w14:textFill>
        </w:rPr>
      </w:pPr>
      <w:bookmarkStart w:id="140" w:name="_Hlt70481650"/>
      <w:bookmarkEnd w:id="140"/>
    </w:p>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14:textFill>
            <w14:solidFill>
              <w14:schemeClr w14:val="tx1"/>
            </w14:solidFill>
          </w14:textFill>
        </w:rPr>
        <w:br w:type="page"/>
      </w:r>
      <w:bookmarkStart w:id="141" w:name="_Toc15143"/>
      <w:bookmarkStart w:id="142" w:name="_Toc12245"/>
      <w:bookmarkStart w:id="143" w:name="_Toc3601"/>
      <w:bookmarkStart w:id="144" w:name="_Toc139991737"/>
      <w:bookmarkStart w:id="145" w:name="_Toc31653"/>
      <w:bookmarkStart w:id="146" w:name="_Toc29251"/>
      <w:bookmarkStart w:id="147" w:name="_Toc26207"/>
      <w:bookmarkStart w:id="148" w:name="_Toc31644"/>
      <w:bookmarkStart w:id="149" w:name="_Toc123112235"/>
      <w:bookmarkStart w:id="150" w:name="_Toc98560353"/>
      <w:bookmarkStart w:id="151" w:name="_Toc104716695"/>
      <w:bookmarkStart w:id="152" w:name="_Toc123051453"/>
      <w:bookmarkStart w:id="153" w:name="_Toc141703887"/>
      <w:bookmarkStart w:id="154" w:name="_Toc14835"/>
      <w:bookmarkStart w:id="155" w:name="_Toc31235"/>
      <w:bookmarkStart w:id="156" w:name="_Toc6405"/>
      <w:bookmarkStart w:id="157" w:name="_Toc123102454"/>
      <w:r>
        <w:rPr>
          <w:rFonts w:ascii="Times New Roman"/>
          <w:color w:val="000000" w:themeColor="text1"/>
          <w:sz w:val="30"/>
          <w14:textFill>
            <w14:solidFill>
              <w14:schemeClr w14:val="tx1"/>
            </w14:solidFill>
          </w14:textFill>
        </w:rPr>
        <w:t>第</w:t>
      </w:r>
      <w:r>
        <w:rPr>
          <w:rFonts w:hint="eastAsia" w:ascii="Times New Roman"/>
          <w:color w:val="000000" w:themeColor="text1"/>
          <w:sz w:val="30"/>
          <w14:textFill>
            <w14:solidFill>
              <w14:schemeClr w14:val="tx1"/>
            </w14:solidFill>
          </w14:textFill>
        </w:rPr>
        <w:t>九</w:t>
      </w:r>
      <w:r>
        <w:rPr>
          <w:rFonts w:ascii="Times New Roman"/>
          <w:color w:val="000000" w:themeColor="text1"/>
          <w:sz w:val="30"/>
          <w14:textFill>
            <w14:solidFill>
              <w14:schemeClr w14:val="tx1"/>
            </w14:solidFill>
          </w14:textFill>
        </w:rPr>
        <w:t>部分  基金合同当事人及权利义务</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Start w:id="158" w:name="_Hlt55355235"/>
      <w:bookmarkEnd w:id="158"/>
      <w:bookmarkStart w:id="159" w:name="_Toc523711668"/>
      <w:bookmarkStart w:id="160" w:name="_Toc79392580"/>
      <w:bookmarkStart w:id="161" w:name="_Toc15118234"/>
      <w:bookmarkStart w:id="162" w:name="_Toc57530239"/>
    </w:p>
    <w:p>
      <w:pPr>
        <w:spacing w:line="360" w:lineRule="auto"/>
        <w:ind w:firstLine="480" w:firstLineChars="200"/>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一、基金</w:t>
      </w:r>
      <w:bookmarkEnd w:id="159"/>
      <w:r>
        <w:rPr>
          <w:bCs/>
          <w:color w:val="000000" w:themeColor="text1"/>
          <w:sz w:val="24"/>
          <w14:textFill>
            <w14:solidFill>
              <w14:schemeClr w14:val="tx1"/>
            </w14:solidFill>
          </w14:textFill>
        </w:rPr>
        <w:t>管理人</w:t>
      </w:r>
      <w:bookmarkEnd w:id="160"/>
      <w:bookmarkEnd w:id="161"/>
      <w:bookmarkEnd w:id="162"/>
    </w:p>
    <w:p>
      <w:pPr>
        <w:spacing w:line="360" w:lineRule="auto"/>
        <w:ind w:firstLine="480" w:firstLineChars="200"/>
        <w:rPr>
          <w:bCs/>
          <w:color w:val="000000" w:themeColor="text1"/>
          <w:sz w:val="24"/>
          <w14:textFill>
            <w14:solidFill>
              <w14:schemeClr w14:val="tx1"/>
            </w14:solidFill>
          </w14:textFill>
        </w:rPr>
      </w:pPr>
      <w:bookmarkStart w:id="163" w:name="_Toc15118235"/>
      <w:r>
        <w:rPr>
          <w:bCs/>
          <w:color w:val="000000" w:themeColor="text1"/>
          <w:sz w:val="24"/>
          <w14:textFill>
            <w14:solidFill>
              <w14:schemeClr w14:val="tx1"/>
            </w14:solidFill>
          </w14:textFill>
        </w:rPr>
        <w:t>（一）</w:t>
      </w:r>
      <w:r>
        <w:rPr>
          <w:bCs/>
          <w:color w:val="000000" w:themeColor="text1"/>
          <w:sz w:val="24"/>
          <w14:textFill>
            <w14:solidFill>
              <w14:schemeClr w14:val="tx1"/>
            </w14:solidFill>
          </w14:textFill>
        </w:rPr>
        <w:tab/>
      </w:r>
      <w:r>
        <w:rPr>
          <w:bCs/>
          <w:color w:val="000000" w:themeColor="text1"/>
          <w:sz w:val="24"/>
          <w14:textFill>
            <w14:solidFill>
              <w14:schemeClr w14:val="tx1"/>
            </w14:solidFill>
          </w14:textFill>
        </w:rPr>
        <w:t>基金管理人简况</w:t>
      </w:r>
      <w:bookmarkEnd w:id="163"/>
    </w:p>
    <w:p>
      <w:pPr>
        <w:spacing w:line="360" w:lineRule="auto"/>
        <w:ind w:firstLine="480" w:firstLineChars="200"/>
        <w:rPr>
          <w:bCs/>
          <w:color w:val="000000" w:themeColor="text1"/>
          <w:sz w:val="24"/>
          <w14:textFill>
            <w14:solidFill>
              <w14:schemeClr w14:val="tx1"/>
            </w14:solidFill>
          </w14:textFill>
        </w:rPr>
      </w:pPr>
      <w:bookmarkStart w:id="164" w:name="_Toc15118236"/>
      <w:bookmarkStart w:id="165" w:name="_Toc15118237"/>
      <w:r>
        <w:rPr>
          <w:bCs/>
          <w:color w:val="000000" w:themeColor="text1"/>
          <w:sz w:val="24"/>
          <w14:textFill>
            <w14:solidFill>
              <w14:schemeClr w14:val="tx1"/>
            </w14:solidFill>
          </w14:textFill>
        </w:rPr>
        <w:t>名称：</w:t>
      </w:r>
      <w:bookmarkEnd w:id="164"/>
      <w:r>
        <w:rPr>
          <w:rFonts w:hint="eastAsia"/>
          <w:bCs/>
          <w:color w:val="000000" w:themeColor="text1"/>
          <w:sz w:val="24"/>
          <w14:textFill>
            <w14:solidFill>
              <w14:schemeClr w14:val="tx1"/>
            </w14:solidFill>
          </w14:textFill>
        </w:rPr>
        <w:t>大成基金管理有限公司</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住所：</w:t>
      </w:r>
      <w:r>
        <w:rPr>
          <w:rFonts w:hint="eastAsia"/>
          <w:bCs/>
          <w:color w:val="000000" w:themeColor="text1"/>
          <w:sz w:val="24"/>
          <w14:textFill>
            <w14:solidFill>
              <w14:schemeClr w14:val="tx1"/>
            </w14:solidFill>
          </w14:textFill>
        </w:rPr>
        <w:t>广东省深圳市南山区海德三道1236号大成基金总部大厦5层、27-33层</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法定代表人：</w:t>
      </w:r>
      <w:r>
        <w:rPr>
          <w:rFonts w:hint="eastAsia"/>
          <w:bCs/>
          <w:color w:val="000000" w:themeColor="text1"/>
          <w:sz w:val="24"/>
          <w14:textFill>
            <w14:solidFill>
              <w14:schemeClr w14:val="tx1"/>
            </w14:solidFill>
          </w14:textFill>
        </w:rPr>
        <w:t>吴庆斌</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设立日期： </w:t>
      </w:r>
      <w:r>
        <w:rPr>
          <w:rFonts w:hint="eastAsia"/>
          <w:bCs/>
          <w:color w:val="000000" w:themeColor="text1"/>
          <w:sz w:val="24"/>
          <w14:textFill>
            <w14:solidFill>
              <w14:schemeClr w14:val="tx1"/>
            </w14:solidFill>
          </w14:textFill>
        </w:rPr>
        <w:t>1999年4月12日</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批准设立机关及批准设立文号：</w:t>
      </w:r>
      <w:r>
        <w:rPr>
          <w:rFonts w:hint="eastAsia"/>
          <w:bCs/>
          <w:color w:val="000000" w:themeColor="text1"/>
          <w:sz w:val="24"/>
          <w14:textFill>
            <w14:solidFill>
              <w14:schemeClr w14:val="tx1"/>
            </w14:solidFill>
          </w14:textFill>
        </w:rPr>
        <w:t>中国证券监督管理委员会，中国证监会证监</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基金字〔1999〕10 号</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组织形式：</w:t>
      </w:r>
      <w:r>
        <w:rPr>
          <w:rFonts w:hint="eastAsia"/>
          <w:bCs/>
          <w:color w:val="000000" w:themeColor="text1"/>
          <w:sz w:val="24"/>
          <w14:textFill>
            <w14:solidFill>
              <w14:schemeClr w14:val="tx1"/>
            </w14:solidFill>
          </w14:textFill>
        </w:rPr>
        <w:t>有限责任公司</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注册资本：</w:t>
      </w:r>
      <w:r>
        <w:rPr>
          <w:rFonts w:hint="eastAsia"/>
          <w:bCs/>
          <w:color w:val="000000" w:themeColor="text1"/>
          <w:sz w:val="24"/>
          <w14:textFill>
            <w14:solidFill>
              <w14:schemeClr w14:val="tx1"/>
            </w14:solidFill>
          </w14:textFill>
        </w:rPr>
        <w:t>贰亿元人民币</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存续期限：</w:t>
      </w:r>
      <w:r>
        <w:rPr>
          <w:rFonts w:hint="eastAsia"/>
          <w:bCs/>
          <w:color w:val="000000" w:themeColor="text1"/>
          <w:sz w:val="24"/>
          <w14:textFill>
            <w14:solidFill>
              <w14:schemeClr w14:val="tx1"/>
            </w14:solidFill>
          </w14:textFill>
        </w:rPr>
        <w:t>持续经营</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联系电话：0755-83183388</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（二）</w:t>
      </w:r>
      <w:r>
        <w:rPr>
          <w:bCs/>
          <w:color w:val="000000" w:themeColor="text1"/>
          <w:sz w:val="24"/>
          <w14:textFill>
            <w14:solidFill>
              <w14:schemeClr w14:val="tx1"/>
            </w14:solidFill>
          </w14:textFill>
        </w:rPr>
        <w:tab/>
      </w:r>
      <w:r>
        <w:rPr>
          <w:bCs/>
          <w:color w:val="000000" w:themeColor="text1"/>
          <w:sz w:val="24"/>
          <w14:textFill>
            <w14:solidFill>
              <w14:schemeClr w14:val="tx1"/>
            </w14:solidFill>
          </w14:textFill>
        </w:rPr>
        <w:t>基金管理人的权利与义务</w:t>
      </w:r>
      <w:bookmarkEnd w:id="165"/>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1、根据《基金法》、《运作办法》及其他有关规定，基金管理人的权利包括但不限于：</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（1）依法募集</w:t>
      </w:r>
      <w:r>
        <w:rPr>
          <w:rFonts w:hint="eastAsia"/>
          <w:bCs/>
          <w:color w:val="000000" w:themeColor="text1"/>
          <w:sz w:val="24"/>
          <w14:textFill>
            <w14:solidFill>
              <w14:schemeClr w14:val="tx1"/>
            </w14:solidFill>
          </w14:textFill>
        </w:rPr>
        <w:t>资</w:t>
      </w:r>
      <w:r>
        <w:rPr>
          <w:bCs/>
          <w:color w:val="000000" w:themeColor="text1"/>
          <w:sz w:val="24"/>
          <w14:textFill>
            <w14:solidFill>
              <w14:schemeClr w14:val="tx1"/>
            </w14:solidFill>
          </w14:textFill>
        </w:rPr>
        <w:t>金；</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（2）自《基金合同》生效之日起，根据法律法规和《基金合同》独立运用并管理基金财产；</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（3）依照《基金合同》收取基金管理费以及法律法规规定或中国证监会批准的其他费用；</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r>
        <w:rPr>
          <w:rFonts w:hint="eastAsia"/>
          <w:bCs/>
          <w:color w:val="000000" w:themeColor="text1"/>
          <w:sz w:val="24"/>
          <w14:textFill>
            <w14:solidFill>
              <w14:schemeClr w14:val="tx1"/>
            </w14:solidFill>
          </w14:textFill>
        </w:rPr>
        <w:t>销售</w:t>
      </w:r>
      <w:r>
        <w:rPr>
          <w:bCs/>
          <w:color w:val="000000" w:themeColor="text1"/>
          <w:sz w:val="24"/>
          <w14:textFill>
            <w14:solidFill>
              <w14:schemeClr w14:val="tx1"/>
            </w14:solidFill>
          </w14:textFill>
        </w:rPr>
        <w:t>基金份额；</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bookmarkStart w:id="166" w:name="_Hlt88896155"/>
      <w:r>
        <w:rPr>
          <w:rFonts w:hint="eastAsia"/>
          <w:bCs/>
          <w:color w:val="000000" w:themeColor="text1"/>
          <w:sz w:val="24"/>
          <w14:textFill>
            <w14:solidFill>
              <w14:schemeClr w14:val="tx1"/>
            </w14:solidFill>
          </w14:textFill>
        </w:rPr>
        <w:t>按照规定</w:t>
      </w:r>
      <w:r>
        <w:rPr>
          <w:bCs/>
          <w:color w:val="000000" w:themeColor="text1"/>
          <w:sz w:val="24"/>
          <w14:textFill>
            <w14:solidFill>
              <w14:schemeClr w14:val="tx1"/>
            </w14:solidFill>
          </w14:textFill>
        </w:rPr>
        <w:t>召集</w:t>
      </w:r>
      <w:bookmarkEnd w:id="166"/>
      <w:r>
        <w:rPr>
          <w:bCs/>
          <w:color w:val="000000" w:themeColor="text1"/>
          <w:sz w:val="24"/>
          <w14:textFill>
            <w14:solidFill>
              <w14:schemeClr w14:val="tx1"/>
            </w14:solidFill>
          </w14:textFill>
        </w:rPr>
        <w:t>基金份额持有人大会；</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（7）在基金托管人更换时，提名新的基金托管人；</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（8）选择、更换基金销售机构，对基金销售机构的相关行为进行监督和处理； </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（9）担任或委托其他符合条件的机构担任基金登记机构办理基金登记业务并获得《基金合同》规定的费用； </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（10）依据《基金合同》及有关法律规定决定基金收益的分配方案；</w:t>
      </w:r>
      <w:r>
        <w:rPr>
          <w:bCs/>
          <w:color w:val="000000" w:themeColor="text1"/>
          <w:sz w:val="24"/>
          <w14:textFill>
            <w14:solidFill>
              <w14:schemeClr w14:val="tx1"/>
            </w14:solidFill>
          </w14:textFill>
        </w:rPr>
        <w:tab/>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（11）在《基金合同》约定的范围内，拒绝或暂停受理申购</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赎回</w:t>
      </w:r>
      <w:r>
        <w:rPr>
          <w:rFonts w:hint="eastAsia"/>
          <w:bCs/>
          <w:color w:val="000000" w:themeColor="text1"/>
          <w:sz w:val="24"/>
          <w14:textFill>
            <w14:solidFill>
              <w14:schemeClr w14:val="tx1"/>
            </w14:solidFill>
          </w14:textFill>
        </w:rPr>
        <w:t>与转换申</w:t>
      </w:r>
    </w:p>
    <w:p>
      <w:pPr>
        <w:spacing w:line="440" w:lineRule="atLeas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请</w:t>
      </w:r>
      <w:r>
        <w:rPr>
          <w:bCs/>
          <w:color w:val="000000" w:themeColor="text1"/>
          <w:sz w:val="24"/>
          <w14:textFill>
            <w14:solidFill>
              <w14:schemeClr w14:val="tx1"/>
            </w14:solidFill>
          </w14:textFill>
        </w:rPr>
        <w:t xml:space="preserve">； </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（12）依照法律法规为基金的利益对被投资公司行使相关权利，为基金的利益行使因基金财产投资于证券所产生的权利；</w:t>
      </w:r>
      <w:r>
        <w:rPr>
          <w:bCs/>
          <w:color w:val="000000" w:themeColor="text1"/>
          <w:sz w:val="24"/>
          <w14:textFill>
            <w14:solidFill>
              <w14:schemeClr w14:val="tx1"/>
            </w14:solidFill>
          </w14:textFill>
        </w:rPr>
        <w:tab/>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（13）在法律法规允许的前提下，为基金的利益依法为基金</w:t>
      </w:r>
      <w:r>
        <w:rPr>
          <w:rFonts w:hint="eastAsia"/>
          <w:bCs/>
          <w:color w:val="000000" w:themeColor="text1"/>
          <w:sz w:val="24"/>
          <w14:textFill>
            <w14:solidFill>
              <w14:schemeClr w14:val="tx1"/>
            </w14:solidFill>
          </w14:textFill>
        </w:rPr>
        <w:t>进行融资</w:t>
      </w:r>
      <w:r>
        <w:rPr>
          <w:bCs/>
          <w:color w:val="000000" w:themeColor="text1"/>
          <w:sz w:val="24"/>
          <w14:textFill>
            <w14:solidFill>
              <w14:schemeClr w14:val="tx1"/>
            </w14:solidFill>
          </w14:textFill>
        </w:rPr>
        <w:t xml:space="preserve">； </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（14）以基金管理人的名义，代表基金份额持有人的利益行使诉讼权利或者实施其他法律行为；</w:t>
      </w:r>
      <w:r>
        <w:rPr>
          <w:bCs/>
          <w:color w:val="000000" w:themeColor="text1"/>
          <w:sz w:val="24"/>
          <w14:textFill>
            <w14:solidFill>
              <w14:schemeClr w14:val="tx1"/>
            </w14:solidFill>
          </w14:textFill>
        </w:rPr>
        <w:tab/>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（15）选择、更换律师事务所、会计师事务所、证券经纪商或其他为基金提供服务的外部机构；</w:t>
      </w:r>
      <w:r>
        <w:rPr>
          <w:bCs/>
          <w:color w:val="000000" w:themeColor="text1"/>
          <w:sz w:val="24"/>
          <w14:textFill>
            <w14:solidFill>
              <w14:schemeClr w14:val="tx1"/>
            </w14:solidFill>
          </w14:textFill>
        </w:rPr>
        <w:tab/>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（16）在符合有关法律、法规的前提下，制订和调整有关基金认购、申购、赎回、转换和非交易过户</w:t>
      </w:r>
      <w:r>
        <w:rPr>
          <w:rFonts w:hint="eastAsia"/>
          <w:bCs/>
          <w:color w:val="000000" w:themeColor="text1"/>
          <w:sz w:val="24"/>
          <w14:textFill>
            <w14:solidFill>
              <w14:schemeClr w14:val="tx1"/>
            </w14:solidFill>
          </w14:textFill>
        </w:rPr>
        <w:t>等</w:t>
      </w:r>
      <w:r>
        <w:rPr>
          <w:bCs/>
          <w:color w:val="000000" w:themeColor="text1"/>
          <w:sz w:val="24"/>
          <w14:textFill>
            <w14:solidFill>
              <w14:schemeClr w14:val="tx1"/>
            </w14:solidFill>
          </w14:textFill>
        </w:rPr>
        <w:t>业务规则；</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（17）法律法规及中国证监会规定的和《基金合同》约定的其他权利。</w:t>
      </w:r>
    </w:p>
    <w:p>
      <w:pPr>
        <w:spacing w:line="440" w:lineRule="atLeast"/>
        <w:ind w:firstLine="480" w:firstLineChars="200"/>
        <w:rPr>
          <w:bCs/>
          <w:color w:val="000000" w:themeColor="text1"/>
          <w:sz w:val="24"/>
          <w14:textFill>
            <w14:solidFill>
              <w14:schemeClr w14:val="tx1"/>
            </w14:solidFill>
          </w14:textFill>
        </w:rPr>
      </w:pPr>
      <w:bookmarkStart w:id="167" w:name="_Hlk21865825"/>
      <w:r>
        <w:rPr>
          <w:bCs/>
          <w:color w:val="000000" w:themeColor="text1"/>
          <w:sz w:val="24"/>
          <w14:textFill>
            <w14:solidFill>
              <w14:schemeClr w14:val="tx1"/>
            </w14:solidFill>
          </w14:textFill>
        </w:rPr>
        <w:t>2、根据《基金法》、《运作办法》及其他有关规定，基金管理人的义务包括但不限于：</w:t>
      </w:r>
    </w:p>
    <w:p>
      <w:pPr>
        <w:spacing w:line="440" w:lineRule="atLeast"/>
        <w:ind w:firstLine="480" w:firstLineChars="200"/>
        <w:rPr>
          <w:bCs/>
          <w:color w:val="000000" w:themeColor="text1"/>
          <w:sz w:val="24"/>
          <w14:textFill>
            <w14:solidFill>
              <w14:schemeClr w14:val="tx1"/>
            </w14:solidFill>
          </w14:textFill>
        </w:rPr>
      </w:pPr>
      <w:bookmarkStart w:id="168" w:name="_Toc523711669"/>
      <w:r>
        <w:rPr>
          <w:bCs/>
          <w:color w:val="000000" w:themeColor="text1"/>
          <w:sz w:val="24"/>
          <w14:textFill>
            <w14:solidFill>
              <w14:schemeClr w14:val="tx1"/>
            </w14:solidFill>
          </w14:textFill>
        </w:rPr>
        <w:t>（1）依法募集</w:t>
      </w:r>
      <w:r>
        <w:rPr>
          <w:rFonts w:hint="eastAsia"/>
          <w:bCs/>
          <w:color w:val="000000" w:themeColor="text1"/>
          <w:sz w:val="24"/>
          <w14:textFill>
            <w14:solidFill>
              <w14:schemeClr w14:val="tx1"/>
            </w14:solidFill>
          </w14:textFill>
        </w:rPr>
        <w:t>资</w:t>
      </w:r>
      <w:r>
        <w:rPr>
          <w:bCs/>
          <w:color w:val="000000" w:themeColor="text1"/>
          <w:sz w:val="24"/>
          <w14:textFill>
            <w14:solidFill>
              <w14:schemeClr w14:val="tx1"/>
            </w14:solidFill>
          </w14:textFill>
        </w:rPr>
        <w:t>金，办理或者委托经中国证监会认定的其他机构代为办理基金份额的发售、申购、赎回和登记事宜；</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（2）办理基金备案手续；</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（3）自《基金合同》生效之日起，以诚实信用、谨慎勤勉的原则管理和运用基金财产；</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（4）配备足够的具有专业资格的人员进行基金投资分析、决策，以专业化的经营方式管理和运作基金财产；</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（6）除依据《基金法》、《基金合同》及其他有关规定外，不得利用基金财产为自己及任何第三人谋取利益，不得委托第三人运作基金财产；</w:t>
      </w:r>
      <w:bookmarkStart w:id="169" w:name="_Hlt88897298"/>
      <w:bookmarkEnd w:id="169"/>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（7）依法接受基金托管人的监督；</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（8）采取适当合理的措施使计算基金份额认购、申购、赎回</w:t>
      </w:r>
      <w:r>
        <w:rPr>
          <w:rFonts w:hint="eastAsia"/>
          <w:bCs/>
          <w:color w:val="000000" w:themeColor="text1"/>
          <w:sz w:val="24"/>
          <w14:textFill>
            <w14:solidFill>
              <w14:schemeClr w14:val="tx1"/>
            </w14:solidFill>
          </w14:textFill>
        </w:rPr>
        <w:t>对价</w:t>
      </w:r>
      <w:r>
        <w:rPr>
          <w:bCs/>
          <w:color w:val="000000" w:themeColor="text1"/>
          <w:sz w:val="24"/>
          <w14:textFill>
            <w14:solidFill>
              <w14:schemeClr w14:val="tx1"/>
            </w14:solidFill>
          </w14:textFill>
        </w:rPr>
        <w:t>的方法符合《基金合同》等法律文件的规定，按有关规定计算并公告基金净值</w:t>
      </w:r>
      <w:r>
        <w:rPr>
          <w:rFonts w:hint="eastAsia"/>
          <w:bCs/>
          <w:color w:val="000000" w:themeColor="text1"/>
          <w:sz w:val="24"/>
          <w14:textFill>
            <w14:solidFill>
              <w14:schemeClr w14:val="tx1"/>
            </w14:solidFill>
          </w14:textFill>
        </w:rPr>
        <w:t>信息</w:t>
      </w:r>
      <w:r>
        <w:rPr>
          <w:bCs/>
          <w:color w:val="000000" w:themeColor="text1"/>
          <w:sz w:val="24"/>
          <w14:textFill>
            <w14:solidFill>
              <w14:schemeClr w14:val="tx1"/>
            </w14:solidFill>
          </w14:textFill>
        </w:rPr>
        <w:t>，确定基金份额申购、赎回</w:t>
      </w:r>
      <w:r>
        <w:rPr>
          <w:rFonts w:hint="eastAsia"/>
          <w:bCs/>
          <w:color w:val="000000" w:themeColor="text1"/>
          <w:sz w:val="24"/>
          <w14:textFill>
            <w14:solidFill>
              <w14:schemeClr w14:val="tx1"/>
            </w14:solidFill>
          </w14:textFill>
        </w:rPr>
        <w:t>对价，编制申购赎回清单</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（9）进行基金会计核算并编制基金财务会计报告；</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（10）编制季度</w:t>
      </w:r>
      <w:r>
        <w:rPr>
          <w:rFonts w:hint="eastAsia"/>
          <w:bCs/>
          <w:color w:val="000000" w:themeColor="text1"/>
          <w:sz w:val="24"/>
          <w14:textFill>
            <w14:solidFill>
              <w14:schemeClr w14:val="tx1"/>
            </w14:solidFill>
          </w14:textFill>
        </w:rPr>
        <w:t>报告</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中期报告</w:t>
      </w:r>
      <w:r>
        <w:rPr>
          <w:bCs/>
          <w:color w:val="000000" w:themeColor="text1"/>
          <w:sz w:val="24"/>
          <w14:textFill>
            <w14:solidFill>
              <w14:schemeClr w14:val="tx1"/>
            </w14:solidFill>
          </w14:textFill>
        </w:rPr>
        <w:t>和年度报告；</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（11）</w:t>
      </w:r>
      <w:r>
        <w:rPr>
          <w:bCs/>
          <w:color w:val="000000" w:themeColor="text1"/>
          <w:sz w:val="24"/>
          <w14:textFill>
            <w14:solidFill>
              <w14:schemeClr w14:val="tx1"/>
            </w14:solidFill>
          </w14:textFill>
        </w:rPr>
        <w:tab/>
      </w:r>
      <w:r>
        <w:rPr>
          <w:bCs/>
          <w:color w:val="000000" w:themeColor="text1"/>
          <w:sz w:val="24"/>
          <w14:textFill>
            <w14:solidFill>
              <w14:schemeClr w14:val="tx1"/>
            </w14:solidFill>
          </w14:textFill>
        </w:rPr>
        <w:t>严格按照《基金法》、《基金合同》及其他有关规定，履行信息披露及报告义务；</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（12）保守基金商业秘密，不泄露基金投资计划、投资意向等。除《基金法》、《基金合同》及其他有关规定另有规定外，在基金信息公开披露前应予保密，不向他人泄露</w:t>
      </w:r>
      <w:r>
        <w:rPr>
          <w:rFonts w:hint="eastAsia"/>
          <w:bCs/>
          <w:color w:val="000000" w:themeColor="text1"/>
          <w:sz w:val="24"/>
          <w14:textFill>
            <w14:solidFill>
              <w14:schemeClr w14:val="tx1"/>
            </w14:solidFill>
          </w14:textFill>
        </w:rPr>
        <w:t>，但向监管机构、司法机关等有权机构提供或因审计、法律等外部专业顾问提供服务而向其提供的情况除外</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（13）按《基金合同》的约定确定基金收益分配方案，及时向基金份额持有人分配基金收益；</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（14）按规定受理申购与赎回申请，及时、足额支付赎回</w:t>
      </w:r>
      <w:r>
        <w:rPr>
          <w:rFonts w:hint="eastAsia"/>
          <w:bCs/>
          <w:color w:val="000000" w:themeColor="text1"/>
          <w:sz w:val="24"/>
          <w14:textFill>
            <w14:solidFill>
              <w14:schemeClr w14:val="tx1"/>
            </w14:solidFill>
          </w14:textFill>
        </w:rPr>
        <w:t>对价</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（15）依据《基金法》、《基金合同》及其他有关规定召集基金份额持有人大会或配合基金托管人、基金份额持有人依法召集基金份额持有人大会；</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（16）按规定保存基金财产管理业务活动的会计账册、报表、记录和其他相关资料</w:t>
      </w:r>
      <w:r>
        <w:rPr>
          <w:rFonts w:hint="eastAsia"/>
          <w:color w:val="000000" w:themeColor="text1"/>
          <w:sz w:val="24"/>
          <w14:textFill>
            <w14:solidFill>
              <w14:schemeClr w14:val="tx1"/>
            </w14:solidFill>
          </w14:textFill>
        </w:rPr>
        <w:t>，保存年限不低于法律法规规定的最低期限</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（18）组织并参加基金财产清算小组</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参与基金财产的保管、清理、估价、变现和分配；</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（19）面临解散、依法被撤销或者被依法宣告破产时，及时报告中国证监会并通知基金托管人；</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（20）因违反《基金合同》导致基金财产的损失或损害基金份额持有人合法权益时，应当承担赔偿责任，其赔偿责任不因其退任而免除；</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（22）当基金管理人将其义务委托第三方处理时，应当对第三方处理有关基金事务的行为承担责任；</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（23）以基金管理人名义，代表基金份额持有人利益行使诉讼权利或实施其他法律行为；</w:t>
      </w:r>
      <w:r>
        <w:rPr>
          <w:bCs/>
          <w:color w:val="000000" w:themeColor="text1"/>
          <w:sz w:val="24"/>
          <w14:textFill>
            <w14:solidFill>
              <w14:schemeClr w14:val="tx1"/>
            </w14:solidFill>
          </w14:textFill>
        </w:rPr>
        <w:tab/>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（24）基金在募集期间未能达到基金</w:t>
      </w:r>
      <w:bookmarkStart w:id="170" w:name="_Hlt88823209"/>
      <w:bookmarkEnd w:id="170"/>
      <w:r>
        <w:rPr>
          <w:bCs/>
          <w:color w:val="000000" w:themeColor="text1"/>
          <w:sz w:val="24"/>
          <w14:textFill>
            <w14:solidFill>
              <w14:schemeClr w14:val="tx1"/>
            </w14:solidFill>
          </w14:textFill>
        </w:rPr>
        <w:t>的备案条件，《基金合同》不能生效，基金管理人承担全部募集费用，将已募集资金并加计银行同期</w:t>
      </w:r>
      <w:r>
        <w:rPr>
          <w:rFonts w:hint="eastAsia"/>
          <w:bCs/>
          <w:color w:val="000000" w:themeColor="text1"/>
          <w:sz w:val="24"/>
          <w14:textFill>
            <w14:solidFill>
              <w14:schemeClr w14:val="tx1"/>
            </w14:solidFill>
          </w14:textFill>
        </w:rPr>
        <w:t>活期</w:t>
      </w:r>
      <w:r>
        <w:rPr>
          <w:bCs/>
          <w:color w:val="000000" w:themeColor="text1"/>
          <w:sz w:val="24"/>
          <w14:textFill>
            <w14:solidFill>
              <w14:schemeClr w14:val="tx1"/>
            </w14:solidFill>
          </w14:textFill>
        </w:rPr>
        <w:t>存款利息在基金募集期结束后</w:t>
      </w:r>
      <w:r>
        <w:rPr>
          <w:rFonts w:hint="eastAsia"/>
          <w:bCs/>
          <w:color w:val="000000" w:themeColor="text1"/>
          <w:sz w:val="24"/>
          <w14:textFill>
            <w14:solidFill>
              <w14:schemeClr w14:val="tx1"/>
            </w14:solidFill>
          </w14:textFill>
        </w:rPr>
        <w:t>30</w:t>
      </w:r>
      <w:r>
        <w:rPr>
          <w:bCs/>
          <w:color w:val="000000" w:themeColor="text1"/>
          <w:sz w:val="24"/>
          <w14:textFill>
            <w14:solidFill>
              <w14:schemeClr w14:val="tx1"/>
            </w14:solidFill>
          </w14:textFill>
        </w:rPr>
        <w:t>日内退还基金认购人；</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（25）执行生效的基金份额持有人大会的</w:t>
      </w:r>
      <w:r>
        <w:rPr>
          <w:rFonts w:hint="eastAsia"/>
          <w:bCs/>
          <w:color w:val="000000" w:themeColor="text1"/>
          <w:sz w:val="24"/>
          <w14:textFill>
            <w14:solidFill>
              <w14:schemeClr w14:val="tx1"/>
            </w14:solidFill>
          </w14:textFill>
        </w:rPr>
        <w:t>决议</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（26）建立并保存基金份额持有人名册；</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（27）法律法规及中国证监会规定的和《基金合同》约定的其他义务。</w:t>
      </w:r>
    </w:p>
    <w:bookmarkEnd w:id="167"/>
    <w:p>
      <w:pPr>
        <w:spacing w:line="360" w:lineRule="auto"/>
        <w:ind w:firstLine="480" w:firstLineChars="200"/>
        <w:rPr>
          <w:bCs/>
          <w:color w:val="000000" w:themeColor="text1"/>
          <w:sz w:val="24"/>
          <w14:textFill>
            <w14:solidFill>
              <w14:schemeClr w14:val="tx1"/>
            </w14:solidFill>
          </w14:textFill>
        </w:rPr>
      </w:pPr>
      <w:bookmarkStart w:id="171" w:name="_Toc15118238"/>
      <w:bookmarkStart w:id="172" w:name="_Toc79392581"/>
      <w:bookmarkStart w:id="173" w:name="_Toc57530240"/>
      <w:r>
        <w:rPr>
          <w:bCs/>
          <w:color w:val="000000" w:themeColor="text1"/>
          <w:sz w:val="24"/>
          <w14:textFill>
            <w14:solidFill>
              <w14:schemeClr w14:val="tx1"/>
            </w14:solidFill>
          </w14:textFill>
        </w:rPr>
        <w:t>二、基金托管人</w:t>
      </w:r>
      <w:bookmarkEnd w:id="168"/>
      <w:bookmarkEnd w:id="171"/>
      <w:bookmarkEnd w:id="172"/>
      <w:bookmarkEnd w:id="173"/>
    </w:p>
    <w:p>
      <w:pPr>
        <w:spacing w:line="360" w:lineRule="auto"/>
        <w:ind w:firstLine="480" w:firstLineChars="200"/>
        <w:rPr>
          <w:bCs/>
          <w:color w:val="000000" w:themeColor="text1"/>
          <w:sz w:val="24"/>
          <w14:textFill>
            <w14:solidFill>
              <w14:schemeClr w14:val="tx1"/>
            </w14:solidFill>
          </w14:textFill>
        </w:rPr>
      </w:pPr>
      <w:bookmarkStart w:id="174" w:name="_Toc15118239"/>
      <w:r>
        <w:rPr>
          <w:bCs/>
          <w:color w:val="000000" w:themeColor="text1"/>
          <w:sz w:val="24"/>
          <w14:textFill>
            <w14:solidFill>
              <w14:schemeClr w14:val="tx1"/>
            </w14:solidFill>
          </w14:textFill>
        </w:rPr>
        <w:t>（一）基金托管人简况</w:t>
      </w:r>
      <w:bookmarkEnd w:id="174"/>
    </w:p>
    <w:p>
      <w:pPr>
        <w:spacing w:line="360" w:lineRule="auto"/>
        <w:ind w:firstLine="480" w:firstLineChars="200"/>
        <w:rPr>
          <w:bCs/>
          <w:color w:val="000000" w:themeColor="text1"/>
          <w:sz w:val="24"/>
          <w14:textFill>
            <w14:solidFill>
              <w14:schemeClr w14:val="tx1"/>
            </w14:solidFill>
          </w14:textFill>
        </w:rPr>
      </w:pPr>
      <w:bookmarkStart w:id="175" w:name="_Toc15118240"/>
      <w:r>
        <w:rPr>
          <w:rFonts w:hint="eastAsia"/>
          <w:bCs/>
          <w:color w:val="000000" w:themeColor="text1"/>
          <w:sz w:val="24"/>
          <w14:textFill>
            <w14:solidFill>
              <w14:schemeClr w14:val="tx1"/>
            </w14:solidFill>
          </w14:textFill>
        </w:rPr>
        <w:t>名称：中国建设银行股份有限公司(简称：中国建设银行)</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住所：北京市西城区金融大街25号</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办公地址：北京市西城区闹市口大街1号院1号楼</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邮政编码：100033</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法定代表人：张金良</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成立日期：2004年09月17日</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基金托管业务批准文号：中国证监会证监基字[1998</w:t>
      </w:r>
      <w:bookmarkStart w:id="176" w:name="OLE_LINK3"/>
      <w:r>
        <w:rPr>
          <w:rFonts w:hint="eastAsia"/>
          <w:bCs/>
          <w:color w:val="000000" w:themeColor="text1"/>
          <w:sz w:val="24"/>
          <w14:textFill>
            <w14:solidFill>
              <w14:schemeClr w14:val="tx1"/>
            </w14:solidFill>
          </w14:textFill>
        </w:rPr>
        <w:t>]</w:t>
      </w:r>
      <w:bookmarkEnd w:id="176"/>
      <w:r>
        <w:rPr>
          <w:rFonts w:hint="eastAsia"/>
          <w:bCs/>
          <w:color w:val="000000" w:themeColor="text1"/>
          <w:sz w:val="24"/>
          <w14:textFill>
            <w14:solidFill>
              <w14:schemeClr w14:val="tx1"/>
            </w14:solidFill>
          </w14:textFill>
        </w:rPr>
        <w:t>12号</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组织形式：股份有限公司</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注册资本：贰仟伍佰亿壹仟零玖拾柒万柒仟肆佰捌拾陆元整</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存续期间：持续经营</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（二）基金托管人的权利与义务</w:t>
      </w:r>
      <w:bookmarkEnd w:id="175"/>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1、根据《基金法》、《运作办法》及其他有关规定，基金托管人的权利包括但不限于：</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（1）自《基金合同》生效之日起，依法律法规和《基金合同》的规定安全保管基金财产；</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（2）依《基金合同》约定获得基金托管费以及法律法规规定或监管部门批准的其他费用；</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（4）根据相关市场规则，为基金开设</w:t>
      </w:r>
      <w:r>
        <w:rPr>
          <w:rFonts w:hint="eastAsia"/>
          <w:bCs/>
          <w:color w:val="000000" w:themeColor="text1"/>
          <w:sz w:val="24"/>
          <w14:textFill>
            <w14:solidFill>
              <w14:schemeClr w14:val="tx1"/>
            </w14:solidFill>
          </w14:textFill>
        </w:rPr>
        <w:t>资金</w:t>
      </w:r>
      <w:r>
        <w:rPr>
          <w:bCs/>
          <w:color w:val="000000" w:themeColor="text1"/>
          <w:sz w:val="24"/>
          <w14:textFill>
            <w14:solidFill>
              <w14:schemeClr w14:val="tx1"/>
            </w14:solidFill>
          </w14:textFill>
        </w:rPr>
        <w:t>账户、证券</w:t>
      </w:r>
      <w:r>
        <w:rPr>
          <w:rFonts w:hint="eastAsia"/>
          <w:bCs/>
          <w:color w:val="000000" w:themeColor="text1"/>
          <w:sz w:val="24"/>
          <w14:textFill>
            <w14:solidFill>
              <w14:schemeClr w14:val="tx1"/>
            </w14:solidFill>
          </w14:textFill>
        </w:rPr>
        <w:t>账户等投资所需账户</w:t>
      </w:r>
      <w:r>
        <w:rPr>
          <w:bCs/>
          <w:color w:val="000000" w:themeColor="text1"/>
          <w:sz w:val="24"/>
          <w14:textFill>
            <w14:solidFill>
              <w14:schemeClr w14:val="tx1"/>
            </w14:solidFill>
          </w14:textFill>
        </w:rPr>
        <w:t>、为基金办理证券交易资金清算</w:t>
      </w:r>
      <w:r>
        <w:rPr>
          <w:rFonts w:hint="eastAsia"/>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（5）提议召开或召集基金份额持有人大会；</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（6）在基金管理人更换时，提名新的基金管理人；</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（7）法律法规及中国证监会规定的和《基金合同》约定的其他权利。</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2、根据《基金法》、《运作办法》及其他有关规定，基金托管人的义务包括但不限于：</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（1）以诚实信用、勤勉尽责的原则持有并安全保管基金财产；</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（2）设立专门的基金托管部门，具有符合要求的营业场所，配备足够的、合格的熟悉基金托管业务的专职人员，负责基金财产托管事宜；</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（4）除依据《基金法》、《基金合同》及其他有关规定外，不得利用基金财产为自己及任何第三人谋取利益，不得委托第三人托管基金财产；</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（5）保管由基金管理人代表基金签订的与基金有关的重大合同及有关凭证；</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（6）按规定开设基金财产的资金账户和证券账户</w:t>
      </w:r>
      <w:r>
        <w:rPr>
          <w:rFonts w:hint="eastAsia"/>
          <w:bCs/>
          <w:color w:val="000000" w:themeColor="text1"/>
          <w:sz w:val="24"/>
          <w14:textFill>
            <w14:solidFill>
              <w14:schemeClr w14:val="tx1"/>
            </w14:solidFill>
          </w14:textFill>
        </w:rPr>
        <w:t>等投资所需账户，</w:t>
      </w:r>
      <w:r>
        <w:rPr>
          <w:bCs/>
          <w:color w:val="000000" w:themeColor="text1"/>
          <w:sz w:val="24"/>
          <w14:textFill>
            <w14:solidFill>
              <w14:schemeClr w14:val="tx1"/>
            </w14:solidFill>
          </w14:textFill>
        </w:rPr>
        <w:t>按照《基金合同》的约定，根据基金管理人的投资指令，及时办理清算、交割事宜；</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（7）保守基金商业秘密，除《基金法》、《基金合同》及其他有关规定另有规定外，在基金信息公开披露前予以保密，不得向他人泄露</w:t>
      </w:r>
      <w:r>
        <w:rPr>
          <w:rFonts w:hint="eastAsia"/>
          <w:bCs/>
          <w:color w:val="000000" w:themeColor="text1"/>
          <w:sz w:val="24"/>
          <w14:textFill>
            <w14:solidFill>
              <w14:schemeClr w14:val="tx1"/>
            </w14:solidFill>
          </w14:textFill>
        </w:rPr>
        <w:t>，但向监管机构、司法机关等有权机构提供或因审计、法律等外部专业顾问提供服务而向其提供的情况除外</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（8）复核、审查基金管理人计算的基金资产净值、</w:t>
      </w:r>
      <w:r>
        <w:rPr>
          <w:rFonts w:hint="eastAsia"/>
          <w:bCs/>
          <w:color w:val="000000" w:themeColor="text1"/>
          <w:sz w:val="24"/>
          <w14:textFill>
            <w14:solidFill>
              <w14:schemeClr w14:val="tx1"/>
            </w14:solidFill>
          </w14:textFill>
        </w:rPr>
        <w:t>基金份额净值</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（9）办理与基金托管业务活动有关的信息披露事项；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（10）对基金财务会计报告、</w:t>
      </w:r>
      <w:r>
        <w:rPr>
          <w:rFonts w:hint="eastAsia"/>
          <w:bCs/>
          <w:color w:val="000000" w:themeColor="text1"/>
          <w:sz w:val="24"/>
          <w14:textFill>
            <w14:solidFill>
              <w14:schemeClr w14:val="tx1"/>
            </w14:solidFill>
          </w14:textFill>
        </w:rPr>
        <w:t>季度报告、中期报告</w:t>
      </w:r>
      <w:r>
        <w:rPr>
          <w:bCs/>
          <w:color w:val="000000" w:themeColor="text1"/>
          <w:sz w:val="24"/>
          <w14:textFill>
            <w14:solidFill>
              <w14:schemeClr w14:val="tx1"/>
            </w14:solidFill>
          </w14:textFill>
        </w:rPr>
        <w:t>和年度报告出具意见，说明基金管理人在各重要方面的运作是否严格按照《基金合同》的规定进行；如果基金管理人有未执行《基金合同》规定的行为，还应当说明基金托管人是否采取了适当的措施；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（11）保存基金托管业务活动的记录、账册、报表和其他相关资料</w:t>
      </w:r>
      <w:r>
        <w:rPr>
          <w:rFonts w:hint="eastAsia"/>
          <w:bCs/>
          <w:color w:val="000000" w:themeColor="text1"/>
          <w:sz w:val="24"/>
          <w14:textFill>
            <w14:solidFill>
              <w14:schemeClr w14:val="tx1"/>
            </w14:solidFill>
          </w14:textFill>
        </w:rPr>
        <w:t>不低于法律法规规定的最低期限</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（12）</w:t>
      </w:r>
      <w:r>
        <w:rPr>
          <w:rFonts w:hint="eastAsia"/>
          <w:bCs/>
          <w:color w:val="000000" w:themeColor="text1"/>
          <w:sz w:val="24"/>
          <w14:textFill>
            <w14:solidFill>
              <w14:schemeClr w14:val="tx1"/>
            </w14:solidFill>
          </w14:textFill>
        </w:rPr>
        <w:t>从基金管理人或其委托的登记机构处接收并保存基金份额持有人名册；</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（13）按规定制作相关账册并与基金管理人核对；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（14）依据基金管理人的指令或有关规定向基金份额持有人支付基金收益和赎回</w:t>
      </w:r>
      <w:r>
        <w:rPr>
          <w:rFonts w:hint="eastAsia"/>
          <w:bCs/>
          <w:color w:val="000000" w:themeColor="text1"/>
          <w:sz w:val="24"/>
          <w14:textFill>
            <w14:solidFill>
              <w14:schemeClr w14:val="tx1"/>
            </w14:solidFill>
          </w14:textFill>
        </w:rPr>
        <w:t>对价</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（15）依据《基金法》、《基金合同》及其他有关规定，召集基金份额持有人大会或配合</w:t>
      </w:r>
      <w:r>
        <w:rPr>
          <w:rFonts w:hint="eastAsia"/>
          <w:bCs/>
          <w:color w:val="000000" w:themeColor="text1"/>
          <w:sz w:val="24"/>
          <w14:textFill>
            <w14:solidFill>
              <w14:schemeClr w14:val="tx1"/>
            </w14:solidFill>
          </w14:textFill>
        </w:rPr>
        <w:t>基金管理人、</w:t>
      </w:r>
      <w:r>
        <w:rPr>
          <w:bCs/>
          <w:color w:val="000000" w:themeColor="text1"/>
          <w:sz w:val="24"/>
          <w14:textFill>
            <w14:solidFill>
              <w14:schemeClr w14:val="tx1"/>
            </w14:solidFill>
          </w14:textFill>
        </w:rPr>
        <w:t>基金份额持有人依法召集基金份额持有人大会；</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（16）按照法律法规和《基金合同》的规定监督基金管理人的投资运作；</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（17）参加基金财产清算小组，参与基金财产的保管、清理、估价、变现和分配；</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（18）面临解散、依法被撤销或者被依法宣告破产时，及时报告中国证监会和银行监管机构，并通知基金管理人；</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（19）因违反《基金合同》导致基金财产损失时，应承担赔偿责任，其赔偿责任不因其退任而免除；</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（20）按规定监督基金管理人按法律法规和《基金合同》规定履行自己的义务，基金管理人因违反《基金合同》造成基金财产损失时，应为基金份额持有人利益向基金管理人追偿</w:t>
      </w:r>
      <w:bookmarkStart w:id="177" w:name="_Hlt88825668"/>
      <w:bookmarkEnd w:id="177"/>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（21）执行生效的基金份额持有人大会的决</w:t>
      </w:r>
      <w:r>
        <w:rPr>
          <w:rFonts w:hint="eastAsia"/>
          <w:bCs/>
          <w:color w:val="000000" w:themeColor="text1"/>
          <w:sz w:val="24"/>
          <w14:textFill>
            <w14:solidFill>
              <w14:schemeClr w14:val="tx1"/>
            </w14:solidFill>
          </w14:textFill>
        </w:rPr>
        <w:t>议</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（22）</w:t>
      </w:r>
      <w:bookmarkStart w:id="178" w:name="_Toc523711670"/>
      <w:r>
        <w:rPr>
          <w:bCs/>
          <w:color w:val="000000" w:themeColor="text1"/>
          <w:sz w:val="24"/>
          <w14:textFill>
            <w14:solidFill>
              <w14:schemeClr w14:val="tx1"/>
            </w14:solidFill>
          </w14:textFill>
        </w:rPr>
        <w:t>法律法规及中国证监会规定的和《基金合同》约定的其他义务。</w:t>
      </w:r>
    </w:p>
    <w:bookmarkEnd w:id="178"/>
    <w:p>
      <w:pPr>
        <w:spacing w:line="360" w:lineRule="auto"/>
        <w:ind w:firstLine="480" w:firstLineChars="200"/>
        <w:rPr>
          <w:bCs/>
          <w:color w:val="000000" w:themeColor="text1"/>
          <w:sz w:val="24"/>
          <w14:textFill>
            <w14:solidFill>
              <w14:schemeClr w14:val="tx1"/>
            </w14:solidFill>
          </w14:textFill>
        </w:rPr>
      </w:pPr>
      <w:bookmarkStart w:id="179" w:name="_Toc79392582"/>
      <w:r>
        <w:rPr>
          <w:bCs/>
          <w:color w:val="000000" w:themeColor="text1"/>
          <w:sz w:val="24"/>
          <w14:textFill>
            <w14:solidFill>
              <w14:schemeClr w14:val="tx1"/>
            </w14:solidFill>
          </w14:textFill>
        </w:rPr>
        <w:t>三、基金份额持有人</w:t>
      </w:r>
      <w:bookmarkEnd w:id="179"/>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基金投资者</w:t>
      </w:r>
      <w:r>
        <w:rPr>
          <w:rFonts w:hint="eastAsia"/>
          <w:bCs/>
          <w:color w:val="000000" w:themeColor="text1"/>
          <w:sz w:val="24"/>
          <w14:textFill>
            <w14:solidFill>
              <w14:schemeClr w14:val="tx1"/>
            </w14:solidFill>
          </w14:textFill>
        </w:rPr>
        <w:t>持有</w:t>
      </w:r>
      <w:r>
        <w:rPr>
          <w:bCs/>
          <w:color w:val="000000" w:themeColor="text1"/>
          <w:sz w:val="24"/>
          <w14:textFill>
            <w14:solidFill>
              <w14:schemeClr w14:val="tx1"/>
            </w14:solidFill>
          </w14:textFill>
        </w:rPr>
        <w:t>本基金</w:t>
      </w:r>
      <w:bookmarkStart w:id="180" w:name="_Hlt88899909"/>
      <w:bookmarkEnd w:id="180"/>
      <w:r>
        <w:rPr>
          <w:bCs/>
          <w:color w:val="000000" w:themeColor="text1"/>
          <w:sz w:val="24"/>
          <w14:textFill>
            <w14:solidFill>
              <w14:schemeClr w14:val="tx1"/>
            </w14:solidFill>
          </w14:textFill>
        </w:rPr>
        <w:t>基金份额的行为即视为对《基金合同》的承认和接受，基金投资者</w:t>
      </w:r>
      <w:r>
        <w:rPr>
          <w:rFonts w:hint="eastAsia"/>
          <w:bCs/>
          <w:color w:val="000000" w:themeColor="text1"/>
          <w:sz w:val="24"/>
          <w14:textFill>
            <w14:solidFill>
              <w14:schemeClr w14:val="tx1"/>
            </w14:solidFill>
          </w14:textFill>
        </w:rPr>
        <w:t>自</w:t>
      </w:r>
      <w:r>
        <w:rPr>
          <w:bCs/>
          <w:color w:val="000000" w:themeColor="text1"/>
          <w:sz w:val="24"/>
          <w14:textFill>
            <w14:solidFill>
              <w14:schemeClr w14:val="tx1"/>
            </w14:solidFill>
          </w14:textFill>
        </w:rPr>
        <w:t>依据《基金合同》取得基金份额，即成为本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每份基金份额具有同等的合法权益。</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1、根据《基金法》、《运作办法》及其他有关规定，基金份额持有人的权利包括但不限于：</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（1）分享基金财产收益；</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（2）参与分配清算后的剩余基金财产；</w:t>
      </w:r>
      <w:bookmarkStart w:id="181" w:name="_Hlt88825574"/>
      <w:bookmarkEnd w:id="181"/>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（3）依法</w:t>
      </w:r>
      <w:r>
        <w:rPr>
          <w:rFonts w:hint="eastAsia"/>
          <w:bCs/>
          <w:color w:val="000000" w:themeColor="text1"/>
          <w:sz w:val="24"/>
          <w14:textFill>
            <w14:solidFill>
              <w14:schemeClr w14:val="tx1"/>
            </w14:solidFill>
          </w14:textFill>
        </w:rPr>
        <w:t>转让或者</w:t>
      </w:r>
      <w:r>
        <w:rPr>
          <w:bCs/>
          <w:color w:val="000000" w:themeColor="text1"/>
          <w:sz w:val="24"/>
          <w14:textFill>
            <w14:solidFill>
              <w14:schemeClr w14:val="tx1"/>
            </w14:solidFill>
          </w14:textFill>
        </w:rPr>
        <w:t>申请赎回其持有的基金份额；</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（4）按照规定要求召开基金份额持有人大会或者召集基金份额持有人大会；</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（5）出席或者委派代表出席基金份额持有人大会，对基金份额持有人大会审议事项行使表决权；</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（6）查阅或者复制公开披露的基金信息资料；</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（7）监督基金管理人的投资运作；</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（8）对基金管理人、基金托管人、基金</w:t>
      </w:r>
      <w:r>
        <w:rPr>
          <w:rFonts w:hint="eastAsia"/>
          <w:bCs/>
          <w:color w:val="000000" w:themeColor="text1"/>
          <w:sz w:val="24"/>
          <w14:textFill>
            <w14:solidFill>
              <w14:schemeClr w14:val="tx1"/>
            </w14:solidFill>
          </w14:textFill>
        </w:rPr>
        <w:t>服务</w:t>
      </w:r>
      <w:r>
        <w:rPr>
          <w:bCs/>
          <w:color w:val="000000" w:themeColor="text1"/>
          <w:sz w:val="24"/>
          <w14:textFill>
            <w14:solidFill>
              <w14:schemeClr w14:val="tx1"/>
            </w14:solidFill>
          </w14:textFill>
        </w:rPr>
        <w:t>机构损害其合法权益的行为依法提起诉讼或仲裁；</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（9）</w:t>
      </w:r>
      <w:r>
        <w:rPr>
          <w:rFonts w:hint="eastAsia"/>
          <w:bCs/>
          <w:color w:val="000000" w:themeColor="text1"/>
          <w:sz w:val="24"/>
          <w14:textFill>
            <w14:solidFill>
              <w14:schemeClr w14:val="tx1"/>
            </w14:solidFill>
          </w14:textFill>
        </w:rPr>
        <w:t>法律法规及中国证监会规定的和《基金合同》约定的其他</w:t>
      </w:r>
      <w:r>
        <w:rPr>
          <w:bCs/>
          <w:color w:val="000000" w:themeColor="text1"/>
          <w:sz w:val="24"/>
          <w14:textFill>
            <w14:solidFill>
              <w14:schemeClr w14:val="tx1"/>
            </w14:solidFill>
          </w14:textFill>
        </w:rPr>
        <w:t>权利。</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2、根据《基金法》、《运作办法》及其他有关规定，基金份额持有人的义务包括但不限于：</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（1）认真阅读并遵守《基金合同》</w:t>
      </w:r>
      <w:r>
        <w:rPr>
          <w:rFonts w:hint="eastAsia"/>
          <w:bCs/>
          <w:color w:val="000000" w:themeColor="text1"/>
          <w:sz w:val="24"/>
          <w14:textFill>
            <w14:solidFill>
              <w14:schemeClr w14:val="tx1"/>
            </w14:solidFill>
          </w14:textFill>
        </w:rPr>
        <w:t>、招募说明书、基金产品资料概要等信息披露文件</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（2）了解所投资基金产品，了解自身风险承受能力，自主判断基金的投资价值，自主做出投资决策，自行承担投资风险；</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（3）关注基金信息披露，及时行使权利和履行义务；</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交纳</w:t>
      </w:r>
      <w:r>
        <w:rPr>
          <w:bCs/>
          <w:color w:val="000000" w:themeColor="text1"/>
          <w:sz w:val="24"/>
          <w14:textFill>
            <w14:solidFill>
              <w14:schemeClr w14:val="tx1"/>
            </w14:solidFill>
          </w14:textFill>
        </w:rPr>
        <w:t>基金认购</w:t>
      </w:r>
      <w:r>
        <w:rPr>
          <w:rFonts w:hint="eastAsia"/>
          <w:bCs/>
          <w:color w:val="000000" w:themeColor="text1"/>
          <w:sz w:val="24"/>
          <w14:textFill>
            <w14:solidFill>
              <w14:schemeClr w14:val="tx1"/>
            </w14:solidFill>
          </w14:textFill>
        </w:rPr>
        <w:t>款项</w:t>
      </w:r>
      <w:r>
        <w:rPr>
          <w:bCs/>
          <w:color w:val="000000" w:themeColor="text1"/>
          <w:sz w:val="24"/>
          <w14:textFill>
            <w14:solidFill>
              <w14:schemeClr w14:val="tx1"/>
            </w14:solidFill>
          </w14:textFill>
        </w:rPr>
        <w:t>、申购</w:t>
      </w:r>
      <w:r>
        <w:rPr>
          <w:rFonts w:hint="eastAsia"/>
          <w:bCs/>
          <w:color w:val="000000" w:themeColor="text1"/>
          <w:sz w:val="24"/>
          <w14:textFill>
            <w14:solidFill>
              <w14:schemeClr w14:val="tx1"/>
            </w14:solidFill>
          </w14:textFill>
        </w:rPr>
        <w:t>对价、现金差额</w:t>
      </w:r>
      <w:r>
        <w:rPr>
          <w:bCs/>
          <w:color w:val="000000" w:themeColor="text1"/>
          <w:sz w:val="24"/>
          <w14:textFill>
            <w14:solidFill>
              <w14:schemeClr w14:val="tx1"/>
            </w14:solidFill>
          </w14:textFill>
        </w:rPr>
        <w:t>及法律法规和《基金合同》所规定的费用；</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（5）在其持有的基金份额范围内，承担基金亏损或者《基金合同》终止的有限责任；</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（6）不从事任何有损基金及其他《基金合同》当事人合法权益的活动；</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（7）执行生效的基金份额持有人大会的决</w:t>
      </w:r>
      <w:r>
        <w:rPr>
          <w:rFonts w:hint="eastAsia"/>
          <w:bCs/>
          <w:color w:val="000000" w:themeColor="text1"/>
          <w:sz w:val="24"/>
          <w14:textFill>
            <w14:solidFill>
              <w14:schemeClr w14:val="tx1"/>
            </w14:solidFill>
          </w14:textFill>
        </w:rPr>
        <w:t>议</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（8）返还在基金交易过程中因任何原因获得的不当得利；</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（9）法律法规及中国证监会规定的和《基金合同》约定的其他义务。</w:t>
      </w:r>
    </w:p>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14:textFill>
            <w14:solidFill>
              <w14:schemeClr w14:val="tx1"/>
            </w14:solidFill>
          </w14:textFill>
        </w:rPr>
        <w:br w:type="page"/>
      </w:r>
      <w:bookmarkStart w:id="182" w:name="_Toc139991738"/>
      <w:bookmarkStart w:id="183" w:name="_Toc123051454"/>
      <w:bookmarkStart w:id="184" w:name="_Toc10650"/>
      <w:bookmarkStart w:id="185" w:name="_Toc123112236"/>
      <w:bookmarkStart w:id="186" w:name="_Toc11030"/>
      <w:bookmarkStart w:id="187" w:name="_Toc141703888"/>
      <w:bookmarkStart w:id="188" w:name="_Toc98560354"/>
      <w:bookmarkStart w:id="189" w:name="_Toc6447"/>
      <w:bookmarkStart w:id="190" w:name="_Toc18567"/>
      <w:bookmarkStart w:id="191" w:name="_Toc9706"/>
      <w:bookmarkStart w:id="192" w:name="_Toc7058"/>
      <w:bookmarkStart w:id="193" w:name="_Toc79392583"/>
      <w:bookmarkStart w:id="194" w:name="_Toc3321"/>
      <w:bookmarkStart w:id="195" w:name="_Toc3771"/>
      <w:bookmarkStart w:id="196" w:name="_Toc123102455"/>
      <w:bookmarkStart w:id="197" w:name="_Toc4559"/>
      <w:bookmarkStart w:id="198" w:name="_Toc25783"/>
      <w:bookmarkStart w:id="199" w:name="_Toc104716696"/>
      <w:r>
        <w:rPr>
          <w:rFonts w:ascii="Times New Roman"/>
          <w:color w:val="000000" w:themeColor="text1"/>
          <w:sz w:val="30"/>
          <w14:textFill>
            <w14:solidFill>
              <w14:schemeClr w14:val="tx1"/>
            </w14:solidFill>
          </w14:textFill>
        </w:rPr>
        <w:t>第</w:t>
      </w:r>
      <w:r>
        <w:rPr>
          <w:rFonts w:hint="eastAsia" w:ascii="Times New Roman"/>
          <w:color w:val="000000" w:themeColor="text1"/>
          <w:sz w:val="30"/>
          <w14:textFill>
            <w14:solidFill>
              <w14:schemeClr w14:val="tx1"/>
            </w14:solidFill>
          </w14:textFill>
        </w:rPr>
        <w:t>十</w:t>
      </w:r>
      <w:r>
        <w:rPr>
          <w:rFonts w:ascii="Times New Roman"/>
          <w:color w:val="000000" w:themeColor="text1"/>
          <w:sz w:val="30"/>
          <w14:textFill>
            <w14:solidFill>
              <w14:schemeClr w14:val="tx1"/>
            </w14:solidFill>
          </w14:textFill>
        </w:rPr>
        <w:t>部分  基金份额持有人大会</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spacing w:line="360" w:lineRule="auto"/>
        <w:ind w:firstLine="480" w:firstLineChars="200"/>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基金份额持有人大会由基金份额持有人组成，基金份额持有人的合法授权代表有权代表基金份额持有人出席会议并表决。基金份额持有人持有的每一基金份额拥有平等的投票权。</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若以本基金为目标基金，且基金管理人和基金托管人与本基金一致的联接基金的基金合同生效，鉴于本基金和联接基金的相关性，联接基金的基金份额持有人可以凭所持有的联接基金的基金份额直接出席本基金的基金份额持有人大会或者委派代表出席本基金的基金份额持有人大会并参与表决。在计算参会份额和票数时，联接基金持有人持有的享有表决权的参会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本基金基金份额持有人大会不设日常机构。若未来本基金份额持有人大会成立日常机构，则按照届时有效的法律法规的规定执行。</w:t>
      </w:r>
    </w:p>
    <w:p>
      <w:pPr>
        <w:spacing w:line="360" w:lineRule="auto"/>
        <w:ind w:firstLine="480" w:firstLineChars="200"/>
        <w:rPr>
          <w:bCs/>
          <w:color w:val="000000" w:themeColor="text1"/>
          <w:sz w:val="24"/>
          <w14:textFill>
            <w14:solidFill>
              <w14:schemeClr w14:val="tx1"/>
            </w14:solidFill>
          </w14:textFill>
        </w:rPr>
      </w:pPr>
      <w:bookmarkStart w:id="200" w:name="_Toc79392584"/>
      <w:bookmarkStart w:id="201" w:name="_Toc15641220"/>
      <w:bookmarkStart w:id="202" w:name="_Toc57530243"/>
      <w:r>
        <w:rPr>
          <w:bCs/>
          <w:color w:val="000000" w:themeColor="text1"/>
          <w:sz w:val="24"/>
          <w14:textFill>
            <w14:solidFill>
              <w14:schemeClr w14:val="tx1"/>
            </w14:solidFill>
          </w14:textFill>
        </w:rPr>
        <w:t>一、召开事由</w:t>
      </w:r>
      <w:bookmarkEnd w:id="200"/>
      <w:bookmarkEnd w:id="201"/>
      <w:bookmarkEnd w:id="202"/>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除法律法规和中国证监会另有规定或《基金合同》另有约定外，</w:t>
      </w:r>
      <w:r>
        <w:rPr>
          <w:bCs/>
          <w:color w:val="000000" w:themeColor="text1"/>
          <w:sz w:val="24"/>
          <w14:textFill>
            <w14:solidFill>
              <w14:schemeClr w14:val="tx1"/>
            </w14:solidFill>
          </w14:textFill>
        </w:rPr>
        <w:t>当出现或需要决定下列事由之一的，应当召开基金份额持有人大会：</w:t>
      </w:r>
    </w:p>
    <w:p>
      <w:pPr>
        <w:spacing w:line="440" w:lineRule="atLeas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（1）终止《基金合同》；</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（2）更换基金管理人；</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（3）更换基金托管人；</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（4）转换基金运作方式；</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r>
        <w:rPr>
          <w:rFonts w:hint="eastAsia"/>
          <w:bCs/>
          <w:color w:val="000000" w:themeColor="text1"/>
          <w:sz w:val="24"/>
          <w14:textFill>
            <w14:solidFill>
              <w14:schemeClr w14:val="tx1"/>
            </w14:solidFill>
          </w14:textFill>
        </w:rPr>
        <w:t>调整</w:t>
      </w:r>
      <w:r>
        <w:rPr>
          <w:bCs/>
          <w:color w:val="000000" w:themeColor="text1"/>
          <w:sz w:val="24"/>
          <w14:textFill>
            <w14:solidFill>
              <w14:schemeClr w14:val="tx1"/>
            </w14:solidFill>
          </w14:textFill>
        </w:rPr>
        <w:t>基金管理人、基金托管人的报酬标准；</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（6）变更基金类别；</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（7）本基金与其他基金的合并；</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（8）变更基金投资目标、范围或策略；</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（9）变更基金份额持有人大会程序；</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（10）基金管理人或基金托管人要求召开基金份额持有人大会；</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（11）单独或合计持有本基金总份额10%以上（含10%）基金份额的基金份额持有人（以基金管理人收到提议当日的基金份额计算，下同）就同一事项书面要求召开基金份额持有人大会；</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（12）对基金</w:t>
      </w:r>
      <w:r>
        <w:rPr>
          <w:rFonts w:hint="eastAsia"/>
          <w:bCs/>
          <w:color w:val="000000" w:themeColor="text1"/>
          <w:sz w:val="24"/>
          <w14:textFill>
            <w14:solidFill>
              <w14:schemeClr w14:val="tx1"/>
            </w14:solidFill>
          </w14:textFill>
        </w:rPr>
        <w:t>合同</w:t>
      </w:r>
      <w:r>
        <w:rPr>
          <w:bCs/>
          <w:color w:val="000000" w:themeColor="text1"/>
          <w:sz w:val="24"/>
          <w14:textFill>
            <w14:solidFill>
              <w14:schemeClr w14:val="tx1"/>
            </w14:solidFill>
          </w14:textFill>
        </w:rPr>
        <w:t>当事人权利和义务产生重大影响的其他事项；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（13）</w:t>
      </w:r>
      <w:r>
        <w:rPr>
          <w:rFonts w:hint="eastAsia"/>
          <w:bCs/>
          <w:color w:val="000000" w:themeColor="text1"/>
          <w:sz w:val="24"/>
          <w14:textFill>
            <w14:solidFill>
              <w14:schemeClr w14:val="tx1"/>
            </w14:solidFill>
          </w14:textFill>
        </w:rPr>
        <w:t>终止基金上市，但因基金不再具备上市条件而被深圳证券交易所终止上市的情形除外；</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4</w:t>
      </w:r>
      <w:r>
        <w:rPr>
          <w:bCs/>
          <w:color w:val="000000" w:themeColor="text1"/>
          <w:sz w:val="24"/>
          <w14:textFill>
            <w14:solidFill>
              <w14:schemeClr w14:val="tx1"/>
            </w14:solidFill>
          </w14:textFill>
        </w:rPr>
        <w:t>）法律法规、《基金合同》或中国证监会规定的其他应当召开基金份额持有人大会的事项。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color w:val="000000" w:themeColor="text1"/>
          <w:sz w:val="24"/>
          <w14:textFill>
            <w14:solidFill>
              <w14:schemeClr w14:val="tx1"/>
            </w14:solidFill>
          </w14:textFill>
        </w:rPr>
        <w:t>在法律法规</w:t>
      </w:r>
      <w:r>
        <w:rPr>
          <w:rFonts w:hint="eastAsia"/>
          <w:color w:val="000000" w:themeColor="text1"/>
          <w:sz w:val="24"/>
          <w14:textFill>
            <w14:solidFill>
              <w14:schemeClr w14:val="tx1"/>
            </w14:solidFill>
          </w14:textFill>
        </w:rPr>
        <w:t>规定</w:t>
      </w:r>
      <w:r>
        <w:rPr>
          <w:color w:val="000000" w:themeColor="text1"/>
          <w:sz w:val="24"/>
          <w14:textFill>
            <w14:solidFill>
              <w14:schemeClr w14:val="tx1"/>
            </w14:solidFill>
          </w14:textFill>
        </w:rPr>
        <w:t>和《基金合同》</w:t>
      </w:r>
      <w:r>
        <w:rPr>
          <w:rFonts w:hint="eastAsia"/>
          <w:color w:val="000000" w:themeColor="text1"/>
          <w:sz w:val="24"/>
          <w14:textFill>
            <w14:solidFill>
              <w14:schemeClr w14:val="tx1"/>
            </w14:solidFill>
          </w14:textFill>
        </w:rPr>
        <w:t>约</w:t>
      </w:r>
      <w:r>
        <w:rPr>
          <w:color w:val="000000" w:themeColor="text1"/>
          <w:sz w:val="24"/>
          <w14:textFill>
            <w14:solidFill>
              <w14:schemeClr w14:val="tx1"/>
            </w14:solidFill>
          </w14:textFill>
        </w:rPr>
        <w:t>定的范围内且对基金份额持有人利益无实质性不利影响的前提下</w:t>
      </w:r>
      <w:r>
        <w:rPr>
          <w:rFonts w:hint="eastAsia"/>
          <w:color w:val="000000" w:themeColor="text1"/>
          <w:sz w:val="24"/>
          <w14:textFill>
            <w14:solidFill>
              <w14:schemeClr w14:val="tx1"/>
            </w14:solidFill>
          </w14:textFill>
        </w:rPr>
        <w:t>，</w:t>
      </w:r>
      <w:r>
        <w:rPr>
          <w:bCs/>
          <w:color w:val="000000" w:themeColor="text1"/>
          <w:sz w:val="24"/>
          <w14:textFill>
            <w14:solidFill>
              <w14:schemeClr w14:val="tx1"/>
            </w14:solidFill>
          </w14:textFill>
        </w:rPr>
        <w:t>以下情况可由基金管理人和基金托管人协商后修改，不需召开基金份额持有人大会：</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）法律法规要求增加的基金费用的收取；</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2</w:t>
      </w:r>
      <w:r>
        <w:rPr>
          <w:bCs/>
          <w:color w:val="000000" w:themeColor="text1"/>
          <w:sz w:val="24"/>
          <w14:textFill>
            <w14:solidFill>
              <w14:schemeClr w14:val="tx1"/>
            </w14:solidFill>
          </w14:textFill>
        </w:rPr>
        <w:t>）调整本基金的申购费率</w:t>
      </w:r>
      <w:r>
        <w:rPr>
          <w:rFonts w:hint="eastAsia"/>
          <w:bCs/>
          <w:color w:val="000000" w:themeColor="text1"/>
          <w:sz w:val="24"/>
          <w14:textFill>
            <w14:solidFill>
              <w14:schemeClr w14:val="tx1"/>
            </w14:solidFill>
          </w14:textFill>
        </w:rPr>
        <w:t>或变更收费方式</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3</w:t>
      </w:r>
      <w:r>
        <w:rPr>
          <w:bCs/>
          <w:color w:val="000000" w:themeColor="text1"/>
          <w:sz w:val="24"/>
          <w14:textFill>
            <w14:solidFill>
              <w14:schemeClr w14:val="tx1"/>
            </w14:solidFill>
          </w14:textFill>
        </w:rPr>
        <w:t>）因相应的法律法规发生变动</w:t>
      </w:r>
      <w:r>
        <w:rPr>
          <w:rFonts w:hint="eastAsia"/>
          <w:bCs/>
          <w:color w:val="000000" w:themeColor="text1"/>
          <w:sz w:val="24"/>
          <w14:textFill>
            <w14:solidFill>
              <w14:schemeClr w14:val="tx1"/>
            </w14:solidFill>
          </w14:textFill>
        </w:rPr>
        <w:t>、相关证券交易所或者登记机构的相关业务规则</w:t>
      </w:r>
      <w:r>
        <w:rPr>
          <w:bCs/>
          <w:color w:val="000000" w:themeColor="text1"/>
          <w:sz w:val="24"/>
          <w14:textFill>
            <w14:solidFill>
              <w14:schemeClr w14:val="tx1"/>
            </w14:solidFill>
          </w14:textFill>
        </w:rPr>
        <w:t>发生变动而应当对《基金合同》进行修改；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4</w:t>
      </w:r>
      <w:r>
        <w:rPr>
          <w:bCs/>
          <w:color w:val="000000" w:themeColor="text1"/>
          <w:sz w:val="24"/>
          <w14:textFill>
            <w14:solidFill>
              <w14:schemeClr w14:val="tx1"/>
            </w14:solidFill>
          </w14:textFill>
        </w:rPr>
        <w:t>）对《基金合同》的修改对基金份额持有人利益无实质性不利影响或修改不涉及《基金合同》当事人权利义务关系发生重大变化；</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5</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基金管理人、相关证券交易所和登记机构等在法律法规、《基金合同》规定的范围内调整有关基金认购、申购、赎回、交易、转托管、非交易过户等业务的规则（包括但不限于申购赎回清单的内容调整、申购赎回清单计算和公告时间或频率的调整、开放时间的调整等）；</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6</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基金管理人履行适当程序后，基金推出新业务或服务；</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（7）募集并管理以本基金为目标 ETF 的一只或多只联接基金、增设新的基金份额类别、减少基金份额类别或者调整基金份额类别设置、在其他证券交易所上市、开通场外申购赎回、跨系统转托管等业务；</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8</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本基金的联接基金采取其他方式参与本基金的申购赎回；</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（9）</w:t>
      </w:r>
      <w:r>
        <w:rPr>
          <w:rFonts w:hint="eastAsia"/>
          <w:bCs/>
          <w:color w:val="000000" w:themeColor="text1"/>
          <w:sz w:val="24"/>
          <w14:textFill>
            <w14:solidFill>
              <w14:schemeClr w14:val="tx1"/>
            </w14:solidFill>
          </w14:textFill>
        </w:rPr>
        <w:t>调整基金的申购赎回方式及申购对价、赎回对价组成；</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10</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按照法律法规和基金合同规定不需召开基金份额持有人大会的其他情形。</w:t>
      </w:r>
    </w:p>
    <w:p>
      <w:pPr>
        <w:spacing w:line="360" w:lineRule="auto"/>
        <w:ind w:firstLine="480" w:firstLineChars="200"/>
        <w:rPr>
          <w:bCs/>
          <w:color w:val="000000" w:themeColor="text1"/>
          <w:sz w:val="24"/>
          <w14:textFill>
            <w14:solidFill>
              <w14:schemeClr w14:val="tx1"/>
            </w14:solidFill>
          </w14:textFill>
        </w:rPr>
      </w:pPr>
      <w:bookmarkStart w:id="203" w:name="_Toc57530244"/>
      <w:bookmarkStart w:id="204" w:name="_Toc15641221"/>
      <w:bookmarkStart w:id="205" w:name="_Toc79392585"/>
      <w:r>
        <w:rPr>
          <w:bCs/>
          <w:color w:val="000000" w:themeColor="text1"/>
          <w:sz w:val="24"/>
          <w14:textFill>
            <w14:solidFill>
              <w14:schemeClr w14:val="tx1"/>
            </w14:solidFill>
          </w14:textFill>
        </w:rPr>
        <w:t>二、会议召集人及召集方式</w:t>
      </w:r>
      <w:bookmarkEnd w:id="203"/>
      <w:bookmarkEnd w:id="204"/>
      <w:bookmarkEnd w:id="205"/>
    </w:p>
    <w:p>
      <w:pPr>
        <w:spacing w:line="360" w:lineRule="auto"/>
        <w:ind w:firstLine="480" w:firstLineChars="200"/>
        <w:rPr>
          <w:bCs/>
          <w:color w:val="000000" w:themeColor="text1"/>
          <w:sz w:val="24"/>
          <w14:textFill>
            <w14:solidFill>
              <w14:schemeClr w14:val="tx1"/>
            </w14:solidFill>
          </w14:textFill>
        </w:rPr>
      </w:pPr>
      <w:bookmarkStart w:id="206" w:name="_Toc57530245"/>
      <w:bookmarkStart w:id="207" w:name="_Toc15641222"/>
      <w:r>
        <w:rPr>
          <w:bCs/>
          <w:color w:val="000000" w:themeColor="text1"/>
          <w:sz w:val="24"/>
          <w14:textFill>
            <w14:solidFill>
              <w14:schemeClr w14:val="tx1"/>
            </w14:solidFill>
          </w14:textFill>
        </w:rPr>
        <w:t>1、除法律法规规定或《基金合同》另有约定外，基金份额持有人大会由基金管理人召集</w:t>
      </w:r>
      <w:r>
        <w:rPr>
          <w:rFonts w:hint="eastAsia"/>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2、基金管理人未按规定召集或不能召集时，由基金托管人召集</w:t>
      </w:r>
      <w:r>
        <w:rPr>
          <w:rFonts w:hint="eastAsia"/>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3、基金托管人认为有必要召开基金份额持有人大会的，应当向基金管理人提出书面提议。基金管理人应当自收到书面提议之日起 </w:t>
      </w:r>
      <w:r>
        <w:rPr>
          <w:rFonts w:hint="eastAsia"/>
          <w:bCs/>
          <w:color w:val="000000" w:themeColor="text1"/>
          <w:sz w:val="24"/>
          <w14:textFill>
            <w14:solidFill>
              <w14:schemeClr w14:val="tx1"/>
            </w14:solidFill>
          </w14:textFill>
        </w:rPr>
        <w:t>10</w:t>
      </w:r>
      <w:r>
        <w:rPr>
          <w:bCs/>
          <w:color w:val="000000" w:themeColor="text1"/>
          <w:sz w:val="24"/>
          <w14:textFill>
            <w14:solidFill>
              <w14:schemeClr w14:val="tx1"/>
            </w14:solidFill>
          </w14:textFill>
        </w:rPr>
        <w:t>日内决定是否召集，并书面告知基金托管人。基金管理人决定召集的，应当自出具书面决定之日起</w:t>
      </w:r>
      <w:r>
        <w:rPr>
          <w:rFonts w:hint="eastAsia"/>
          <w:bCs/>
          <w:color w:val="000000" w:themeColor="text1"/>
          <w:sz w:val="24"/>
          <w14:textFill>
            <w14:solidFill>
              <w14:schemeClr w14:val="tx1"/>
            </w14:solidFill>
          </w14:textFill>
        </w:rPr>
        <w:t>60</w:t>
      </w:r>
      <w:r>
        <w:rPr>
          <w:bCs/>
          <w:color w:val="000000" w:themeColor="text1"/>
          <w:sz w:val="24"/>
          <w14:textFill>
            <w14:solidFill>
              <w14:schemeClr w14:val="tx1"/>
            </w14:solidFill>
          </w14:textFill>
        </w:rPr>
        <w:t>日内召开；基金管理人决定不召集，基金托管人仍认为有必要召开的，应当由基金托管人自行召集，并自出具书面决定之日起60日内召开并告知基金管理人，基金管理人应当配合。</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4、代表基金份额</w:t>
      </w:r>
      <w:r>
        <w:rPr>
          <w:rFonts w:hint="eastAsia"/>
          <w:bCs/>
          <w:color w:val="000000" w:themeColor="text1"/>
          <w:sz w:val="24"/>
          <w14:textFill>
            <w14:solidFill>
              <w14:schemeClr w14:val="tx1"/>
            </w14:solidFill>
          </w14:textFill>
        </w:rPr>
        <w:t>10%</w:t>
      </w:r>
      <w:r>
        <w:rPr>
          <w:bCs/>
          <w:color w:val="000000" w:themeColor="text1"/>
          <w:sz w:val="24"/>
          <w14:textFill>
            <w14:solidFill>
              <w14:schemeClr w14:val="tx1"/>
            </w14:solidFill>
          </w14:textFill>
        </w:rPr>
        <w:t>以上（含</w:t>
      </w:r>
      <w:r>
        <w:rPr>
          <w:rFonts w:hint="eastAsia"/>
          <w:bCs/>
          <w:color w:val="000000" w:themeColor="text1"/>
          <w:sz w:val="24"/>
          <w14:textFill>
            <w14:solidFill>
              <w14:schemeClr w14:val="tx1"/>
            </w14:solidFill>
          </w14:textFill>
        </w:rPr>
        <w:t>10%</w:t>
      </w:r>
      <w:r>
        <w:rPr>
          <w:bCs/>
          <w:color w:val="000000" w:themeColor="text1"/>
          <w:sz w:val="24"/>
          <w14:textFill>
            <w14:solidFill>
              <w14:schemeClr w14:val="tx1"/>
            </w14:solidFill>
          </w14:textFill>
        </w:rPr>
        <w:t>）的基金份额持有人就同一事项书面要求召开基金份额持有人大会，应当向基金管理人提出书面提议。基金管理人应当自收到书面提议之日起</w:t>
      </w:r>
      <w:r>
        <w:rPr>
          <w:rFonts w:hint="eastAsia"/>
          <w:bCs/>
          <w:color w:val="000000" w:themeColor="text1"/>
          <w:sz w:val="24"/>
          <w14:textFill>
            <w14:solidFill>
              <w14:schemeClr w14:val="tx1"/>
            </w14:solidFill>
          </w14:textFill>
        </w:rPr>
        <w:t>10</w:t>
      </w:r>
      <w:r>
        <w:rPr>
          <w:bCs/>
          <w:color w:val="000000" w:themeColor="text1"/>
          <w:sz w:val="24"/>
          <w14:textFill>
            <w14:solidFill>
              <w14:schemeClr w14:val="tx1"/>
            </w14:solidFill>
          </w14:textFill>
        </w:rPr>
        <w:t>日内决定是否召集，并书面告知提出提议的基金份额持有人代表和基金托管人。基金管理人决定召集的，应当自出具书面决定之日起</w:t>
      </w:r>
      <w:r>
        <w:rPr>
          <w:rFonts w:hint="eastAsia"/>
          <w:bCs/>
          <w:color w:val="000000" w:themeColor="text1"/>
          <w:sz w:val="24"/>
          <w14:textFill>
            <w14:solidFill>
              <w14:schemeClr w14:val="tx1"/>
            </w14:solidFill>
          </w14:textFill>
        </w:rPr>
        <w:t>60</w:t>
      </w:r>
      <w:r>
        <w:rPr>
          <w:bCs/>
          <w:color w:val="000000" w:themeColor="text1"/>
          <w:sz w:val="24"/>
          <w14:textFill>
            <w14:solidFill>
              <w14:schemeClr w14:val="tx1"/>
            </w14:solidFill>
          </w14:textFill>
        </w:rPr>
        <w:t>日内召开；基金管理人决定不召集，代表基金份额</w:t>
      </w:r>
      <w:r>
        <w:rPr>
          <w:rFonts w:hint="eastAsia"/>
          <w:bCs/>
          <w:color w:val="000000" w:themeColor="text1"/>
          <w:sz w:val="24"/>
          <w14:textFill>
            <w14:solidFill>
              <w14:schemeClr w14:val="tx1"/>
            </w14:solidFill>
          </w14:textFill>
        </w:rPr>
        <w:t>10%</w:t>
      </w:r>
      <w:r>
        <w:rPr>
          <w:bCs/>
          <w:color w:val="000000" w:themeColor="text1"/>
          <w:sz w:val="24"/>
          <w14:textFill>
            <w14:solidFill>
              <w14:schemeClr w14:val="tx1"/>
            </w14:solidFill>
          </w14:textFill>
        </w:rPr>
        <w:t>以上（含</w:t>
      </w:r>
      <w:r>
        <w:rPr>
          <w:rFonts w:hint="eastAsia"/>
          <w:bCs/>
          <w:color w:val="000000" w:themeColor="text1"/>
          <w:sz w:val="24"/>
          <w14:textFill>
            <w14:solidFill>
              <w14:schemeClr w14:val="tx1"/>
            </w14:solidFill>
          </w14:textFill>
        </w:rPr>
        <w:t>10%</w:t>
      </w:r>
      <w:r>
        <w:rPr>
          <w:bCs/>
          <w:color w:val="000000" w:themeColor="text1"/>
          <w:sz w:val="24"/>
          <w14:textFill>
            <w14:solidFill>
              <w14:schemeClr w14:val="tx1"/>
            </w14:solidFill>
          </w14:textFill>
        </w:rPr>
        <w:t>）的基金份额持有人仍认为有必要召开的，应当向基金托管人提出书面提议。基金托管人应当自收到书面提议之日起</w:t>
      </w:r>
      <w:r>
        <w:rPr>
          <w:rFonts w:hint="eastAsia"/>
          <w:bCs/>
          <w:color w:val="000000" w:themeColor="text1"/>
          <w:sz w:val="24"/>
          <w14:textFill>
            <w14:solidFill>
              <w14:schemeClr w14:val="tx1"/>
            </w14:solidFill>
          </w14:textFill>
        </w:rPr>
        <w:t>10</w:t>
      </w:r>
      <w:r>
        <w:rPr>
          <w:bCs/>
          <w:color w:val="000000" w:themeColor="text1"/>
          <w:sz w:val="24"/>
          <w14:textFill>
            <w14:solidFill>
              <w14:schemeClr w14:val="tx1"/>
            </w14:solidFill>
          </w14:textFill>
        </w:rPr>
        <w:t>日内决定是否召集，并书面告知提出提议的基金份额持有人代表和基金管理人；基金托管人决定召集的，应当自出具书面决定之日起60日内召开并告知基金管理人，基金管理人应当配合。</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5、代表基金份额</w:t>
      </w:r>
      <w:r>
        <w:rPr>
          <w:rFonts w:hint="eastAsia"/>
          <w:bCs/>
          <w:color w:val="000000" w:themeColor="text1"/>
          <w:sz w:val="24"/>
          <w14:textFill>
            <w14:solidFill>
              <w14:schemeClr w14:val="tx1"/>
            </w14:solidFill>
          </w14:textFill>
        </w:rPr>
        <w:t>10%</w:t>
      </w:r>
      <w:r>
        <w:rPr>
          <w:bCs/>
          <w:color w:val="000000" w:themeColor="text1"/>
          <w:sz w:val="24"/>
          <w14:textFill>
            <w14:solidFill>
              <w14:schemeClr w14:val="tx1"/>
            </w14:solidFill>
          </w14:textFill>
        </w:rPr>
        <w:t>以上（含</w:t>
      </w:r>
      <w:r>
        <w:rPr>
          <w:rFonts w:hint="eastAsia"/>
          <w:bCs/>
          <w:color w:val="000000" w:themeColor="text1"/>
          <w:sz w:val="24"/>
          <w14:textFill>
            <w14:solidFill>
              <w14:schemeClr w14:val="tx1"/>
            </w14:solidFill>
          </w14:textFill>
        </w:rPr>
        <w:t>10%</w:t>
      </w:r>
      <w:r>
        <w:rPr>
          <w:bCs/>
          <w:color w:val="000000" w:themeColor="text1"/>
          <w:sz w:val="24"/>
          <w14:textFill>
            <w14:solidFill>
              <w14:schemeClr w14:val="tx1"/>
            </w14:solidFill>
          </w14:textFill>
        </w:rPr>
        <w:t>）的基金份额持有人就同一事项要求召开基金份额持有人大会，而基金管理人、基金托管人都不召集的，单独或合计代表基金份额</w:t>
      </w:r>
      <w:r>
        <w:rPr>
          <w:rFonts w:hint="eastAsia"/>
          <w:bCs/>
          <w:color w:val="000000" w:themeColor="text1"/>
          <w:sz w:val="24"/>
          <w14:textFill>
            <w14:solidFill>
              <w14:schemeClr w14:val="tx1"/>
            </w14:solidFill>
          </w14:textFill>
        </w:rPr>
        <w:t>10%</w:t>
      </w:r>
      <w:r>
        <w:rPr>
          <w:bCs/>
          <w:color w:val="000000" w:themeColor="text1"/>
          <w:sz w:val="24"/>
          <w14:textFill>
            <w14:solidFill>
              <w14:schemeClr w14:val="tx1"/>
            </w14:solidFill>
          </w14:textFill>
        </w:rPr>
        <w:t>以上（含</w:t>
      </w:r>
      <w:r>
        <w:rPr>
          <w:rFonts w:hint="eastAsia"/>
          <w:bCs/>
          <w:color w:val="000000" w:themeColor="text1"/>
          <w:sz w:val="24"/>
          <w14:textFill>
            <w14:solidFill>
              <w14:schemeClr w14:val="tx1"/>
            </w14:solidFill>
          </w14:textFill>
        </w:rPr>
        <w:t>10%</w:t>
      </w:r>
      <w:r>
        <w:rPr>
          <w:bCs/>
          <w:color w:val="000000" w:themeColor="text1"/>
          <w:sz w:val="24"/>
          <w14:textFill>
            <w14:solidFill>
              <w14:schemeClr w14:val="tx1"/>
            </w14:solidFill>
          </w14:textFill>
        </w:rPr>
        <w:t>）的基金份额持有人有权自行召集，并至少提前30日报中国证监会备案。基金份额持有人依法自行召集基金份额持有人大会的，基金管理人、基金托管人应当配合，不得阻碍、干扰。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6、基金份额持有人会议的召集人负责选择确定开会时间、地点、方式和权益登记日。</w:t>
      </w:r>
    </w:p>
    <w:p>
      <w:pPr>
        <w:spacing w:line="360" w:lineRule="auto"/>
        <w:ind w:firstLine="480" w:firstLineChars="200"/>
        <w:rPr>
          <w:bCs/>
          <w:color w:val="000000" w:themeColor="text1"/>
          <w:sz w:val="24"/>
          <w14:textFill>
            <w14:solidFill>
              <w14:schemeClr w14:val="tx1"/>
            </w14:solidFill>
          </w14:textFill>
        </w:rPr>
      </w:pPr>
      <w:bookmarkStart w:id="208" w:name="_Toc79392586"/>
      <w:r>
        <w:rPr>
          <w:bCs/>
          <w:color w:val="000000" w:themeColor="text1"/>
          <w:sz w:val="24"/>
          <w14:textFill>
            <w14:solidFill>
              <w14:schemeClr w14:val="tx1"/>
            </w14:solidFill>
          </w14:textFill>
        </w:rPr>
        <w:t>三、召开基金份额持有人大会的通知时间、通知内容、通知方式</w:t>
      </w:r>
      <w:bookmarkEnd w:id="206"/>
      <w:bookmarkEnd w:id="207"/>
      <w:bookmarkEnd w:id="208"/>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1、召开基金份额持有人大会，召集人应于会议召开前</w:t>
      </w:r>
      <w:r>
        <w:rPr>
          <w:rFonts w:hint="eastAsia"/>
          <w:bCs/>
          <w:color w:val="000000" w:themeColor="text1"/>
          <w:sz w:val="24"/>
          <w14:textFill>
            <w14:solidFill>
              <w14:schemeClr w14:val="tx1"/>
            </w14:solidFill>
          </w14:textFill>
        </w:rPr>
        <w:t>30</w:t>
      </w:r>
      <w:r>
        <w:rPr>
          <w:bCs/>
          <w:color w:val="000000" w:themeColor="text1"/>
          <w:sz w:val="24"/>
          <w14:textFill>
            <w14:solidFill>
              <w14:schemeClr w14:val="tx1"/>
            </w14:solidFill>
          </w14:textFill>
        </w:rPr>
        <w:t>日，在规定媒介公告。基金份额持有人大会通知应至少载明以下内容：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（1）会议召开的时间、地点和会议形式；</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（2）会议拟审议的事项、议事程序和表决方式；</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（3）有权出席基金份额持有人大会的基金份额持有人的权益登记日；</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（4）授权委托证明的内容要求（包括但不限于代理人身份，代理权限和代理有效期限等）、送达时间和地点；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（5）会务常设联系人姓名及联系电话；</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（6）出席会议者必须准备的文件和必须履行的手续；</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（7）召集人需要通知的其他事项。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rPr>
          <w:bCs/>
          <w:color w:val="000000" w:themeColor="text1"/>
          <w:sz w:val="24"/>
          <w14:textFill>
            <w14:solidFill>
              <w14:schemeClr w14:val="tx1"/>
            </w14:solidFill>
          </w14:textFill>
        </w:rPr>
      </w:pPr>
      <w:bookmarkStart w:id="209" w:name="_Toc57530246"/>
      <w:bookmarkStart w:id="210" w:name="_Toc79392587"/>
      <w:bookmarkStart w:id="211" w:name="_Toc15641223"/>
      <w:r>
        <w:rPr>
          <w:bCs/>
          <w:color w:val="000000" w:themeColor="text1"/>
          <w:sz w:val="24"/>
          <w14:textFill>
            <w14:solidFill>
              <w14:schemeClr w14:val="tx1"/>
            </w14:solidFill>
          </w14:textFill>
        </w:rPr>
        <w:t>四、基金份额持有人出席会议的方式</w:t>
      </w:r>
      <w:bookmarkEnd w:id="209"/>
      <w:bookmarkEnd w:id="210"/>
      <w:bookmarkEnd w:id="211"/>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基金份额持有人大会可通过现场开会方式</w:t>
      </w:r>
      <w:r>
        <w:rPr>
          <w:rFonts w:hint="eastAsia"/>
          <w:bCs/>
          <w:color w:val="000000" w:themeColor="text1"/>
          <w:sz w:val="24"/>
          <w:u w:val="single"/>
          <w14:textFill>
            <w14:solidFill>
              <w14:schemeClr w14:val="tx1"/>
            </w14:solidFill>
          </w14:textFill>
        </w:rPr>
        <w:t>、</w:t>
      </w:r>
      <w:r>
        <w:rPr>
          <w:bCs/>
          <w:color w:val="000000" w:themeColor="text1"/>
          <w:sz w:val="24"/>
          <w14:textFill>
            <w14:solidFill>
              <w14:schemeClr w14:val="tx1"/>
            </w14:solidFill>
          </w14:textFill>
        </w:rPr>
        <w:t>通讯开会方式</w:t>
      </w:r>
      <w:r>
        <w:rPr>
          <w:color w:val="000000" w:themeColor="text1"/>
          <w:sz w:val="24"/>
          <w14:textFill>
            <w14:solidFill>
              <w14:schemeClr w14:val="tx1"/>
            </w14:solidFill>
          </w14:textFill>
        </w:rPr>
        <w:t>或法律法规、监管机构允许的其他方式</w:t>
      </w:r>
      <w:r>
        <w:rPr>
          <w:bCs/>
          <w:color w:val="000000" w:themeColor="text1"/>
          <w:sz w:val="24"/>
          <w14:textFill>
            <w14:solidFill>
              <w14:schemeClr w14:val="tx1"/>
            </w14:solidFill>
          </w14:textFill>
        </w:rPr>
        <w:t>召开，会议的召开方式由会议召集人确定。</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1、现场开会。由基金份额持有人本人出席或以代理投票授权委托证明委派代表出席，现场开会时基金管理人和基金托管人的授权代表应当列席基金份额持有人大会，基金管理人或</w:t>
      </w:r>
      <w:r>
        <w:rPr>
          <w:rFonts w:hint="eastAsia"/>
          <w:bCs/>
          <w:color w:val="000000" w:themeColor="text1"/>
          <w:sz w:val="24"/>
          <w14:textFill>
            <w14:solidFill>
              <w14:schemeClr w14:val="tx1"/>
            </w14:solidFill>
          </w14:textFill>
        </w:rPr>
        <w:t>基金</w:t>
      </w:r>
      <w:r>
        <w:rPr>
          <w:bCs/>
          <w:color w:val="000000" w:themeColor="text1"/>
          <w:sz w:val="24"/>
          <w14:textFill>
            <w14:solidFill>
              <w14:schemeClr w14:val="tx1"/>
            </w14:solidFill>
          </w14:textFill>
        </w:rPr>
        <w:t>托管人不派代表列席的，不影响表决效力。现场开会同时符合以下条件时，可以进行基金份额持有人大会议程：</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（2）经核对，汇总到会者出示的在权益登记日持有基金份额的凭证显示，有效的基金份额不少于本基金在权益登记日基金总份额的</w:t>
      </w:r>
      <w:r>
        <w:rPr>
          <w:color w:val="000000" w:themeColor="text1"/>
          <w:sz w:val="24"/>
          <w14:textFill>
            <w14:solidFill>
              <w14:schemeClr w14:val="tx1"/>
            </w14:solidFill>
          </w14:textFill>
        </w:rPr>
        <w:t>二分之一（含二分之一）</w:t>
      </w:r>
      <w:r>
        <w:rPr>
          <w:bCs/>
          <w:color w:val="000000" w:themeColor="text1"/>
          <w:sz w:val="24"/>
          <w14:textFill>
            <w14:solidFill>
              <w14:schemeClr w14:val="tx1"/>
            </w14:solidFill>
          </w14:textFill>
        </w:rPr>
        <w:t>。若到会者在权益登记日代表的有效的基金份额少于本基金在权益登记日基金总份额的</w:t>
      </w:r>
      <w:r>
        <w:rPr>
          <w:color w:val="000000" w:themeColor="text1"/>
          <w:sz w:val="24"/>
          <w14:textFill>
            <w14:solidFill>
              <w14:schemeClr w14:val="tx1"/>
            </w14:solidFill>
          </w14:textFill>
        </w:rPr>
        <w:t>二分之一</w:t>
      </w:r>
      <w:r>
        <w:rPr>
          <w:bCs/>
          <w:color w:val="000000" w:themeColor="text1"/>
          <w:sz w:val="24"/>
          <w14:textFill>
            <w14:solidFill>
              <w14:schemeClr w14:val="tx1"/>
            </w14:solidFill>
          </w14:textFill>
        </w:rPr>
        <w:t>，召集人可以在原公告的基金份额持有人大会召开时间的</w:t>
      </w:r>
      <w:r>
        <w:rPr>
          <w:color w:val="000000" w:themeColor="text1"/>
          <w:sz w:val="24"/>
          <w14:textFill>
            <w14:solidFill>
              <w14:schemeClr w14:val="tx1"/>
            </w14:solidFill>
          </w14:textFill>
        </w:rPr>
        <w:t>3个月以后、6个月以内</w:t>
      </w:r>
      <w:r>
        <w:rPr>
          <w:bCs/>
          <w:color w:val="000000" w:themeColor="text1"/>
          <w:sz w:val="24"/>
          <w14:textFill>
            <w14:solidFill>
              <w14:schemeClr w14:val="tx1"/>
            </w14:solidFill>
          </w14:textFill>
        </w:rPr>
        <w:t>，就原定审议事项重新召集基金份额持有人大会。重新召集的基金份额持有人大会到会者在权益登记日代表的有效的基金份额应不少于本基金在权益登记日基金总份额的</w:t>
      </w:r>
      <w:r>
        <w:rPr>
          <w:color w:val="000000" w:themeColor="text1"/>
          <w:sz w:val="24"/>
          <w14:textFill>
            <w14:solidFill>
              <w14:schemeClr w14:val="tx1"/>
            </w14:solidFill>
          </w14:textFill>
        </w:rPr>
        <w:t>三分之一（含三分之一）</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2、通讯开会。通讯开会系指基金份额持有人将其对表决事项的投票以</w:t>
      </w:r>
      <w:r>
        <w:rPr>
          <w:color w:val="000000" w:themeColor="text1"/>
          <w:sz w:val="24"/>
          <w14:textFill>
            <w14:solidFill>
              <w14:schemeClr w14:val="tx1"/>
            </w14:solidFill>
          </w14:textFill>
        </w:rPr>
        <w:t>书面形式</w:t>
      </w:r>
      <w:r>
        <w:rPr>
          <w:rFonts w:hint="eastAsia"/>
          <w:color w:val="000000" w:themeColor="text1"/>
          <w:sz w:val="24"/>
          <w14:textFill>
            <w14:solidFill>
              <w14:schemeClr w14:val="tx1"/>
            </w14:solidFill>
          </w14:textFill>
        </w:rPr>
        <w:t>或</w:t>
      </w:r>
      <w:r>
        <w:rPr>
          <w:rFonts w:hint="eastAsia" w:ascii="宋体" w:hAnsi="宋体"/>
          <w:color w:val="000000" w:themeColor="text1"/>
          <w:sz w:val="24"/>
          <w14:textFill>
            <w14:solidFill>
              <w14:schemeClr w14:val="tx1"/>
            </w14:solidFill>
          </w14:textFill>
        </w:rPr>
        <w:t>大会公告载明</w:t>
      </w:r>
      <w:r>
        <w:rPr>
          <w:rFonts w:hint="eastAsia"/>
          <w:color w:val="000000" w:themeColor="text1"/>
          <w:sz w:val="24"/>
          <w14:textFill>
            <w14:solidFill>
              <w14:schemeClr w14:val="tx1"/>
            </w14:solidFill>
          </w14:textFill>
        </w:rPr>
        <w:t>的其他方式</w:t>
      </w:r>
      <w:r>
        <w:rPr>
          <w:bCs/>
          <w:color w:val="000000" w:themeColor="text1"/>
          <w:sz w:val="24"/>
          <w14:textFill>
            <w14:solidFill>
              <w14:schemeClr w14:val="tx1"/>
            </w14:solidFill>
          </w14:textFill>
        </w:rPr>
        <w:t>在表决</w:t>
      </w:r>
      <w:r>
        <w:rPr>
          <w:rFonts w:hint="eastAsia"/>
          <w:bCs/>
          <w:color w:val="000000" w:themeColor="text1"/>
          <w:sz w:val="24"/>
          <w14:textFill>
            <w14:solidFill>
              <w14:schemeClr w14:val="tx1"/>
            </w14:solidFill>
          </w14:textFill>
        </w:rPr>
        <w:t>截止</w:t>
      </w:r>
      <w:r>
        <w:rPr>
          <w:bCs/>
          <w:color w:val="000000" w:themeColor="text1"/>
          <w:sz w:val="24"/>
          <w14:textFill>
            <w14:solidFill>
              <w14:schemeClr w14:val="tx1"/>
            </w14:solidFill>
          </w14:textFill>
        </w:rPr>
        <w:t>日以前送达至召集人指定的地址</w:t>
      </w:r>
      <w:r>
        <w:rPr>
          <w:rFonts w:hint="eastAsia"/>
          <w:bCs/>
          <w:color w:val="000000" w:themeColor="text1"/>
          <w:sz w:val="24"/>
          <w14:textFill>
            <w14:solidFill>
              <w14:schemeClr w14:val="tx1"/>
            </w14:solidFill>
          </w14:textFill>
        </w:rPr>
        <w:t>或者在法律法规或监管机构允许的情况下，经会议通知载明，基金份额持有人采用网络、电话、短信或其他方式，在</w:t>
      </w:r>
      <w:r>
        <w:rPr>
          <w:bCs/>
          <w:color w:val="000000" w:themeColor="text1"/>
          <w:sz w:val="24"/>
          <w14:textFill>
            <w14:solidFill>
              <w14:schemeClr w14:val="tx1"/>
            </w14:solidFill>
          </w14:textFill>
        </w:rPr>
        <w:t>表决截至日以前</w:t>
      </w:r>
      <w:r>
        <w:rPr>
          <w:rFonts w:hint="eastAsia"/>
          <w:bCs/>
          <w:color w:val="000000" w:themeColor="text1"/>
          <w:sz w:val="24"/>
          <w14:textFill>
            <w14:solidFill>
              <w14:schemeClr w14:val="tx1"/>
            </w14:solidFill>
          </w14:textFill>
        </w:rPr>
        <w:t>对表决事项进行投票并由召集人予以记录</w:t>
      </w:r>
      <w:r>
        <w:rPr>
          <w:bCs/>
          <w:color w:val="000000" w:themeColor="text1"/>
          <w:sz w:val="24"/>
          <w14:textFill>
            <w14:solidFill>
              <w14:schemeClr w14:val="tx1"/>
            </w14:solidFill>
          </w14:textFill>
        </w:rPr>
        <w:t>。通讯开会应以</w:t>
      </w:r>
      <w:r>
        <w:rPr>
          <w:color w:val="000000" w:themeColor="text1"/>
          <w:sz w:val="24"/>
          <w14:textFill>
            <w14:solidFill>
              <w14:schemeClr w14:val="tx1"/>
            </w14:solidFill>
          </w14:textFill>
        </w:rPr>
        <w:t>书面方式</w:t>
      </w:r>
      <w:r>
        <w:rPr>
          <w:rFonts w:hint="eastAsia"/>
          <w:color w:val="000000" w:themeColor="text1"/>
          <w:sz w:val="24"/>
          <w14:textFill>
            <w14:solidFill>
              <w14:schemeClr w14:val="tx1"/>
            </w14:solidFill>
          </w14:textFill>
        </w:rPr>
        <w:t>或</w:t>
      </w:r>
      <w:r>
        <w:rPr>
          <w:rFonts w:hint="eastAsia" w:ascii="宋体" w:hAnsi="宋体"/>
          <w:color w:val="000000" w:themeColor="text1"/>
          <w:sz w:val="24"/>
          <w14:textFill>
            <w14:solidFill>
              <w14:schemeClr w14:val="tx1"/>
            </w14:solidFill>
          </w14:textFill>
        </w:rPr>
        <w:t>大会公告载明</w:t>
      </w:r>
      <w:r>
        <w:rPr>
          <w:rFonts w:hint="eastAsia"/>
          <w:color w:val="000000" w:themeColor="text1"/>
          <w:sz w:val="24"/>
          <w14:textFill>
            <w14:solidFill>
              <w14:schemeClr w14:val="tx1"/>
            </w14:solidFill>
          </w14:textFill>
        </w:rPr>
        <w:t>的其他方式</w:t>
      </w:r>
      <w:r>
        <w:rPr>
          <w:rFonts w:hint="eastAsia"/>
          <w:bCs/>
          <w:color w:val="000000" w:themeColor="text1"/>
          <w:sz w:val="24"/>
          <w14:textFill>
            <w14:solidFill>
              <w14:schemeClr w14:val="tx1"/>
            </w14:solidFill>
          </w14:textFill>
        </w:rPr>
        <w:t>（包括但不限于网络、电话、短信或其他方式，具体方式由会议召集人确定并在会议通知中列明）</w:t>
      </w:r>
      <w:r>
        <w:rPr>
          <w:bCs/>
          <w:color w:val="000000" w:themeColor="text1"/>
          <w:sz w:val="24"/>
          <w14:textFill>
            <w14:solidFill>
              <w14:schemeClr w14:val="tx1"/>
            </w14:solidFill>
          </w14:textFill>
        </w:rPr>
        <w:t>进行表决</w:t>
      </w:r>
      <w:r>
        <w:rPr>
          <w:rFonts w:hint="eastAsia"/>
          <w:bCs/>
          <w:color w:val="000000" w:themeColor="text1"/>
          <w:sz w:val="24"/>
          <w14:textFill>
            <w14:solidFill>
              <w14:schemeClr w14:val="tx1"/>
            </w14:solidFill>
          </w14:textFill>
        </w:rPr>
        <w:t>，若</w:t>
      </w:r>
      <w:r>
        <w:rPr>
          <w:bCs/>
          <w:color w:val="000000" w:themeColor="text1"/>
          <w:sz w:val="24"/>
          <w14:textFill>
            <w14:solidFill>
              <w14:schemeClr w14:val="tx1"/>
            </w14:solidFill>
          </w14:textFill>
        </w:rPr>
        <w:t>基金份额持有人</w:t>
      </w:r>
      <w:r>
        <w:rPr>
          <w:rFonts w:hint="eastAsia"/>
          <w:bCs/>
          <w:color w:val="000000" w:themeColor="text1"/>
          <w:sz w:val="24"/>
          <w14:textFill>
            <w14:solidFill>
              <w14:schemeClr w14:val="tx1"/>
            </w14:solidFill>
          </w14:textFill>
        </w:rPr>
        <w:t>采取非书面形式进行投票的，则召集人对于其投票的书面记录即视为该</w:t>
      </w:r>
      <w:r>
        <w:rPr>
          <w:bCs/>
          <w:color w:val="000000" w:themeColor="text1"/>
          <w:sz w:val="24"/>
          <w14:textFill>
            <w14:solidFill>
              <w14:schemeClr w14:val="tx1"/>
            </w14:solidFill>
          </w14:textFill>
        </w:rPr>
        <w:t>基金份额持有人</w:t>
      </w:r>
      <w:r>
        <w:rPr>
          <w:rFonts w:hint="eastAsia"/>
          <w:bCs/>
          <w:color w:val="000000" w:themeColor="text1"/>
          <w:sz w:val="24"/>
          <w14:textFill>
            <w14:solidFill>
              <w14:schemeClr w14:val="tx1"/>
            </w14:solidFill>
          </w14:textFill>
        </w:rPr>
        <w:t>的书面表决意见</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在同时符合以下条件时，通讯开会的方式视为有效：</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（1）会议召集人按《基金合同》约定公布会议通知后，在</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个工作日</w:t>
      </w:r>
      <w:r>
        <w:rPr>
          <w:bCs/>
          <w:color w:val="000000" w:themeColor="text1"/>
          <w:sz w:val="24"/>
          <w14:textFill>
            <w14:solidFill>
              <w14:schemeClr w14:val="tx1"/>
            </w14:solidFill>
          </w14:textFill>
        </w:rPr>
        <w:t>内连续公布相关提示性公告；</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（2）召集人按基金合同</w:t>
      </w:r>
      <w:r>
        <w:rPr>
          <w:rFonts w:hint="eastAsia"/>
          <w:bCs/>
          <w:color w:val="000000" w:themeColor="text1"/>
          <w:sz w:val="24"/>
          <w14:textFill>
            <w14:solidFill>
              <w14:schemeClr w14:val="tx1"/>
            </w14:solidFill>
          </w14:textFill>
        </w:rPr>
        <w:t>约</w:t>
      </w:r>
      <w:r>
        <w:rPr>
          <w:bCs/>
          <w:color w:val="000000" w:themeColor="text1"/>
          <w:sz w:val="24"/>
          <w14:textFill>
            <w14:solidFill>
              <w14:schemeClr w14:val="tx1"/>
            </w14:solidFill>
          </w14:textFill>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540" w:firstLineChars="225"/>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（3）本人直接出具</w:t>
      </w:r>
      <w:r>
        <w:rPr>
          <w:rFonts w:hint="eastAsia" w:ascii="宋体" w:hAnsi="宋体"/>
          <w:color w:val="000000" w:themeColor="text1"/>
          <w:sz w:val="24"/>
          <w14:textFill>
            <w14:solidFill>
              <w14:schemeClr w14:val="tx1"/>
            </w14:solidFill>
          </w14:textFill>
        </w:rPr>
        <w:t>表决</w:t>
      </w:r>
      <w:r>
        <w:rPr>
          <w:bCs/>
          <w:color w:val="000000" w:themeColor="text1"/>
          <w:sz w:val="24"/>
          <w14:textFill>
            <w14:solidFill>
              <w14:schemeClr w14:val="tx1"/>
            </w14:solidFill>
          </w14:textFill>
        </w:rPr>
        <w:t>意见或授权他人代表出具</w:t>
      </w:r>
      <w:r>
        <w:rPr>
          <w:rFonts w:hint="eastAsia" w:ascii="宋体" w:hAnsi="宋体"/>
          <w:color w:val="000000" w:themeColor="text1"/>
          <w:sz w:val="24"/>
          <w14:textFill>
            <w14:solidFill>
              <w14:schemeClr w14:val="tx1"/>
            </w14:solidFill>
          </w14:textFill>
        </w:rPr>
        <w:t>表决</w:t>
      </w:r>
      <w:r>
        <w:rPr>
          <w:bCs/>
          <w:color w:val="000000" w:themeColor="text1"/>
          <w:sz w:val="24"/>
          <w14:textFill>
            <w14:solidFill>
              <w14:schemeClr w14:val="tx1"/>
            </w14:solidFill>
          </w14:textFill>
        </w:rPr>
        <w:t>意见的，基金份额持有人所持有的基金份额不小于在权益登记日基金总份额的</w:t>
      </w:r>
      <w:r>
        <w:rPr>
          <w:rFonts w:hint="eastAsia"/>
          <w:color w:val="000000" w:themeColor="text1"/>
          <w:sz w:val="24"/>
          <w14:textFill>
            <w14:solidFill>
              <w14:schemeClr w14:val="tx1"/>
            </w14:solidFill>
          </w14:textFill>
        </w:rPr>
        <w:t>二分之一（含二分之一）</w:t>
      </w:r>
      <w:r>
        <w:rPr>
          <w:rFonts w:hint="eastAsia"/>
          <w:bCs/>
          <w:color w:val="000000" w:themeColor="text1"/>
          <w:sz w:val="24"/>
          <w14:textFill>
            <w14:solidFill>
              <w14:schemeClr w14:val="tx1"/>
            </w14:solidFill>
          </w14:textFill>
        </w:rPr>
        <w:t>；若本人直接出具</w:t>
      </w:r>
      <w:r>
        <w:rPr>
          <w:rFonts w:hint="eastAsia" w:ascii="宋体" w:hAnsi="宋体"/>
          <w:color w:val="000000" w:themeColor="text1"/>
          <w:sz w:val="24"/>
          <w14:textFill>
            <w14:solidFill>
              <w14:schemeClr w14:val="tx1"/>
            </w14:solidFill>
          </w14:textFill>
        </w:rPr>
        <w:t>表决</w:t>
      </w:r>
      <w:r>
        <w:rPr>
          <w:rFonts w:hint="eastAsia"/>
          <w:bCs/>
          <w:color w:val="000000" w:themeColor="text1"/>
          <w:sz w:val="24"/>
          <w14:textFill>
            <w14:solidFill>
              <w14:schemeClr w14:val="tx1"/>
            </w14:solidFill>
          </w14:textFill>
        </w:rPr>
        <w:t>意见或授权他人代表出具</w:t>
      </w:r>
      <w:r>
        <w:rPr>
          <w:rFonts w:hint="eastAsia" w:ascii="宋体" w:hAnsi="宋体"/>
          <w:color w:val="000000" w:themeColor="text1"/>
          <w:sz w:val="24"/>
          <w14:textFill>
            <w14:solidFill>
              <w14:schemeClr w14:val="tx1"/>
            </w14:solidFill>
          </w14:textFill>
        </w:rPr>
        <w:t>表决</w:t>
      </w:r>
      <w:r>
        <w:rPr>
          <w:rFonts w:hint="eastAsia"/>
          <w:bCs/>
          <w:color w:val="000000" w:themeColor="text1"/>
          <w:sz w:val="24"/>
          <w14:textFill>
            <w14:solidFill>
              <w14:schemeClr w14:val="tx1"/>
            </w14:solidFill>
          </w14:textFill>
        </w:rPr>
        <w:t>意见基金份额持有人所持有的基金份额小于在权益登记日基金总份额的</w:t>
      </w:r>
      <w:r>
        <w:rPr>
          <w:rFonts w:hint="eastAsia"/>
          <w:color w:val="000000" w:themeColor="text1"/>
          <w:sz w:val="24"/>
          <w14:textFill>
            <w14:solidFill>
              <w14:schemeClr w14:val="tx1"/>
            </w14:solidFill>
          </w14:textFill>
        </w:rPr>
        <w:t>二分之一</w:t>
      </w:r>
      <w:r>
        <w:rPr>
          <w:rFonts w:hint="eastAsia"/>
          <w:bCs/>
          <w:color w:val="000000" w:themeColor="text1"/>
          <w:sz w:val="24"/>
          <w14:textFill>
            <w14:solidFill>
              <w14:schemeClr w14:val="tx1"/>
            </w14:solidFill>
          </w14:textFill>
        </w:rPr>
        <w:t>，召集人可以在原公告的基金份额持有人大会召开时间的</w:t>
      </w:r>
      <w:r>
        <w:rPr>
          <w:rFonts w:hint="eastAsia"/>
          <w:color w:val="000000" w:themeColor="text1"/>
          <w:sz w:val="24"/>
          <w14:textFill>
            <w14:solidFill>
              <w14:schemeClr w14:val="tx1"/>
            </w14:solidFill>
          </w14:textFill>
        </w:rPr>
        <w:t>3个月以后、6个月以内</w:t>
      </w:r>
      <w:r>
        <w:rPr>
          <w:rFonts w:hint="eastAsia"/>
          <w:bCs/>
          <w:color w:val="000000" w:themeColor="text1"/>
          <w:sz w:val="24"/>
          <w14:textFill>
            <w14:solidFill>
              <w14:schemeClr w14:val="tx1"/>
            </w14:solidFill>
          </w14:textFill>
        </w:rPr>
        <w:t>，就原定审议事项重新召集基金份额持有人大会。重新召集的基金份额持有人大会应当有代表</w:t>
      </w:r>
      <w:r>
        <w:rPr>
          <w:rFonts w:hint="eastAsia"/>
          <w:color w:val="000000" w:themeColor="text1"/>
          <w:sz w:val="24"/>
          <w14:textFill>
            <w14:solidFill>
              <w14:schemeClr w14:val="tx1"/>
            </w14:solidFill>
          </w14:textFill>
        </w:rPr>
        <w:t>三分之一以上（含三分之一）</w:t>
      </w:r>
      <w:r>
        <w:rPr>
          <w:rFonts w:hint="eastAsia"/>
          <w:bCs/>
          <w:color w:val="000000" w:themeColor="text1"/>
          <w:sz w:val="24"/>
          <w14:textFill>
            <w14:solidFill>
              <w14:schemeClr w14:val="tx1"/>
            </w14:solidFill>
          </w14:textFill>
        </w:rPr>
        <w:t>基金份额的持有人直接出具</w:t>
      </w:r>
      <w:r>
        <w:rPr>
          <w:rFonts w:hint="eastAsia" w:ascii="宋体" w:hAnsi="宋体"/>
          <w:color w:val="000000" w:themeColor="text1"/>
          <w:sz w:val="24"/>
          <w14:textFill>
            <w14:solidFill>
              <w14:schemeClr w14:val="tx1"/>
            </w14:solidFill>
          </w14:textFill>
        </w:rPr>
        <w:t>表决</w:t>
      </w:r>
      <w:r>
        <w:rPr>
          <w:rFonts w:hint="eastAsia"/>
          <w:bCs/>
          <w:color w:val="000000" w:themeColor="text1"/>
          <w:sz w:val="24"/>
          <w14:textFill>
            <w14:solidFill>
              <w14:schemeClr w14:val="tx1"/>
            </w14:solidFill>
          </w14:textFill>
        </w:rPr>
        <w:t>意见或授权他人代表出具</w:t>
      </w:r>
      <w:r>
        <w:rPr>
          <w:rFonts w:hint="eastAsia" w:ascii="宋体" w:hAnsi="宋体"/>
          <w:color w:val="000000" w:themeColor="text1"/>
          <w:sz w:val="24"/>
          <w14:textFill>
            <w14:solidFill>
              <w14:schemeClr w14:val="tx1"/>
            </w14:solidFill>
          </w14:textFill>
        </w:rPr>
        <w:t>表决</w:t>
      </w:r>
      <w:r>
        <w:rPr>
          <w:rFonts w:hint="eastAsia"/>
          <w:bCs/>
          <w:color w:val="000000" w:themeColor="text1"/>
          <w:sz w:val="24"/>
          <w14:textFill>
            <w14:solidFill>
              <w14:schemeClr w14:val="tx1"/>
            </w14:solidFill>
          </w14:textFill>
        </w:rPr>
        <w:t>意见</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（4）上述第（3）项中直接出具</w:t>
      </w:r>
      <w:r>
        <w:rPr>
          <w:rFonts w:hint="eastAsia" w:ascii="宋体" w:hAnsi="宋体"/>
          <w:color w:val="000000" w:themeColor="text1"/>
          <w:sz w:val="24"/>
          <w14:textFill>
            <w14:solidFill>
              <w14:schemeClr w14:val="tx1"/>
            </w14:solidFill>
          </w14:textFill>
        </w:rPr>
        <w:t>表决</w:t>
      </w:r>
      <w:r>
        <w:rPr>
          <w:bCs/>
          <w:color w:val="000000" w:themeColor="text1"/>
          <w:sz w:val="24"/>
          <w14:textFill>
            <w14:solidFill>
              <w14:schemeClr w14:val="tx1"/>
            </w14:solidFill>
          </w14:textFill>
        </w:rPr>
        <w:t>意见的基金份额持有人或受托代表他人出具</w:t>
      </w:r>
      <w:r>
        <w:rPr>
          <w:rFonts w:hint="eastAsia" w:ascii="宋体" w:hAnsi="宋体"/>
          <w:color w:val="000000" w:themeColor="text1"/>
          <w:sz w:val="24"/>
          <w14:textFill>
            <w14:solidFill>
              <w14:schemeClr w14:val="tx1"/>
            </w14:solidFill>
          </w14:textFill>
        </w:rPr>
        <w:t>表决</w:t>
      </w:r>
      <w:r>
        <w:rPr>
          <w:bCs/>
          <w:color w:val="000000" w:themeColor="text1"/>
          <w:sz w:val="24"/>
          <w14:textFill>
            <w14:solidFill>
              <w14:schemeClr w14:val="tx1"/>
            </w14:solidFill>
          </w14:textFill>
        </w:rPr>
        <w:t>意见的代理人，同时提交的持有基金份额的凭证、受托出具</w:t>
      </w:r>
      <w:r>
        <w:rPr>
          <w:rFonts w:hint="eastAsia" w:ascii="宋体" w:hAnsi="宋体"/>
          <w:color w:val="000000" w:themeColor="text1"/>
          <w:sz w:val="24"/>
          <w14:textFill>
            <w14:solidFill>
              <w14:schemeClr w14:val="tx1"/>
            </w14:solidFill>
          </w14:textFill>
        </w:rPr>
        <w:t>表决</w:t>
      </w:r>
      <w:r>
        <w:rPr>
          <w:bCs/>
          <w:color w:val="000000" w:themeColor="text1"/>
          <w:sz w:val="24"/>
          <w14:textFill>
            <w14:solidFill>
              <w14:schemeClr w14:val="tx1"/>
            </w14:solidFill>
          </w14:textFill>
        </w:rPr>
        <w:t>意见的代理人出具的委托人持有基金份额的凭证及委托人的代理投票授权委托证明符合法律法规、《基金合同》和会议通知的规定，并与基金登记机构记录相符</w:t>
      </w:r>
      <w:r>
        <w:rPr>
          <w:rFonts w:hint="eastAsia"/>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在法律法规和监管机关允许的情况下，经会议通知载明，本基金的基金份额持有人亦可采用其他非书面方式授权其代理人出席基金份额持有人大会，授权方式可以采用书面、网络、电话、短信或其他方式，具体方式由会议召集人确定并在会议通知中列明。</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pPr>
        <w:spacing w:line="360" w:lineRule="auto"/>
        <w:ind w:firstLine="480" w:firstLineChars="200"/>
        <w:rPr>
          <w:bCs/>
          <w:color w:val="000000" w:themeColor="text1"/>
          <w:sz w:val="24"/>
          <w14:textFill>
            <w14:solidFill>
              <w14:schemeClr w14:val="tx1"/>
            </w14:solidFill>
          </w14:textFill>
        </w:rPr>
      </w:pPr>
      <w:bookmarkStart w:id="212" w:name="_Toc79392588"/>
      <w:bookmarkStart w:id="213" w:name="_Toc15641224"/>
      <w:bookmarkStart w:id="214" w:name="_Toc57530247"/>
      <w:r>
        <w:rPr>
          <w:bCs/>
          <w:color w:val="000000" w:themeColor="text1"/>
          <w:sz w:val="24"/>
          <w14:textFill>
            <w14:solidFill>
              <w14:schemeClr w14:val="tx1"/>
            </w14:solidFill>
          </w14:textFill>
        </w:rPr>
        <w:t>五、议事内容与程序</w:t>
      </w:r>
      <w:bookmarkEnd w:id="212"/>
      <w:bookmarkEnd w:id="213"/>
      <w:bookmarkEnd w:id="214"/>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1、议事内容及提案权</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基金份额持有人大会的召集人发出召集会议的通知后，对原有提案的修改应当在基金份额持有人大会召开前及时公告。</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基金份额持有人大会不得对未事先公告的议事内容进行表决。</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2、议事程序</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（1）现场开会</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color w:val="000000" w:themeColor="text1"/>
          <w:sz w:val="24"/>
          <w14:textFill>
            <w14:solidFill>
              <w14:schemeClr w14:val="tx1"/>
            </w14:solidFill>
          </w14:textFill>
        </w:rPr>
        <w:t>50%</w:t>
      </w:r>
      <w:r>
        <w:rPr>
          <w:color w:val="000000" w:themeColor="text1"/>
          <w:sz w:val="24"/>
          <w14:textFill>
            <w14:solidFill>
              <w14:schemeClr w14:val="tx1"/>
            </w14:solidFill>
          </w14:textFill>
        </w:rPr>
        <w:t>以上（含</w:t>
      </w:r>
      <w:r>
        <w:rPr>
          <w:rFonts w:hint="eastAsia"/>
          <w:color w:val="000000" w:themeColor="text1"/>
          <w:sz w:val="24"/>
          <w14:textFill>
            <w14:solidFill>
              <w14:schemeClr w14:val="tx1"/>
            </w14:solidFill>
          </w14:textFill>
        </w:rPr>
        <w:t>50%</w: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（2）通讯开会</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在通讯开会的情况下，首先由召集人提前</w:t>
      </w:r>
      <w:r>
        <w:rPr>
          <w:rFonts w:hint="eastAsia"/>
          <w:color w:val="000000" w:themeColor="text1"/>
          <w:sz w:val="24"/>
          <w14:textFill>
            <w14:solidFill>
              <w14:schemeClr w14:val="tx1"/>
            </w14:solidFill>
          </w14:textFill>
        </w:rPr>
        <w:t>30</w:t>
      </w:r>
      <w:r>
        <w:rPr>
          <w:color w:val="000000" w:themeColor="text1"/>
          <w:sz w:val="24"/>
          <w14:textFill>
            <w14:solidFill>
              <w14:schemeClr w14:val="tx1"/>
            </w14:solidFill>
          </w14:textFill>
        </w:rPr>
        <w:t>日</w:t>
      </w:r>
      <w:r>
        <w:rPr>
          <w:bCs/>
          <w:color w:val="000000" w:themeColor="text1"/>
          <w:sz w:val="24"/>
          <w14:textFill>
            <w14:solidFill>
              <w14:schemeClr w14:val="tx1"/>
            </w14:solidFill>
          </w14:textFill>
        </w:rPr>
        <w:t>公布提案，在所通知的表决截止日期后</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个工作日</w:t>
      </w:r>
      <w:r>
        <w:rPr>
          <w:bCs/>
          <w:color w:val="000000" w:themeColor="text1"/>
          <w:sz w:val="24"/>
          <w14:textFill>
            <w14:solidFill>
              <w14:schemeClr w14:val="tx1"/>
            </w14:solidFill>
          </w14:textFill>
        </w:rPr>
        <w:t>内在公证机关监督下由召集人统计全部有效表决，在公证机关监督下形成决议。</w:t>
      </w:r>
    </w:p>
    <w:p>
      <w:pPr>
        <w:spacing w:line="360" w:lineRule="auto"/>
        <w:ind w:firstLine="480" w:firstLineChars="200"/>
        <w:rPr>
          <w:bCs/>
          <w:color w:val="000000" w:themeColor="text1"/>
          <w:sz w:val="24"/>
          <w14:textFill>
            <w14:solidFill>
              <w14:schemeClr w14:val="tx1"/>
            </w14:solidFill>
          </w14:textFill>
        </w:rPr>
      </w:pPr>
      <w:bookmarkStart w:id="215" w:name="_Toc79392589"/>
      <w:bookmarkStart w:id="216" w:name="_Toc57530248"/>
      <w:bookmarkStart w:id="217" w:name="_Toc15641225"/>
      <w:r>
        <w:rPr>
          <w:bCs/>
          <w:color w:val="000000" w:themeColor="text1"/>
          <w:sz w:val="24"/>
          <w14:textFill>
            <w14:solidFill>
              <w14:schemeClr w14:val="tx1"/>
            </w14:solidFill>
          </w14:textFill>
        </w:rPr>
        <w:t>六、表决</w:t>
      </w:r>
      <w:bookmarkEnd w:id="215"/>
      <w:bookmarkEnd w:id="216"/>
      <w:bookmarkEnd w:id="217"/>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基金份额持有人所持每份基金份额有一票表决权。</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基金份额持有人大会决议分为一般决议和特别决议：</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1、一般决议，一般决议须经参加大会的基金份额持有人或其代理人所持表决权的</w:t>
      </w:r>
      <w:r>
        <w:rPr>
          <w:color w:val="000000" w:themeColor="text1"/>
          <w:sz w:val="24"/>
          <w14:textFill>
            <w14:solidFill>
              <w14:schemeClr w14:val="tx1"/>
            </w14:solidFill>
          </w14:textFill>
        </w:rPr>
        <w:t>二分之一以上（含二分之一）</w:t>
      </w:r>
      <w:r>
        <w:rPr>
          <w:bCs/>
          <w:color w:val="000000" w:themeColor="text1"/>
          <w:sz w:val="24"/>
          <w14:textFill>
            <w14:solidFill>
              <w14:schemeClr w14:val="tx1"/>
            </w14:solidFill>
          </w14:textFill>
        </w:rPr>
        <w:t>通过方为有效；除下列第2项所规定的须以特别决议通过事项以外的其他事项均以一般决议的方式通过。</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2、特别决议，特别决议应当经参加大会的基金份额持有人或其代理人所持表决权的</w:t>
      </w:r>
      <w:r>
        <w:rPr>
          <w:rFonts w:hint="eastAsia"/>
          <w:color w:val="000000" w:themeColor="text1"/>
          <w:sz w:val="24"/>
          <w14:textFill>
            <w14:solidFill>
              <w14:schemeClr w14:val="tx1"/>
            </w14:solidFill>
          </w14:textFill>
        </w:rPr>
        <w:t>三分之二</w:t>
      </w:r>
      <w:r>
        <w:rPr>
          <w:color w:val="000000" w:themeColor="text1"/>
          <w:sz w:val="24"/>
          <w14:textFill>
            <w14:solidFill>
              <w14:schemeClr w14:val="tx1"/>
            </w14:solidFill>
          </w14:textFill>
        </w:rPr>
        <w:t>以上（含</w:t>
      </w:r>
      <w:r>
        <w:rPr>
          <w:rFonts w:hint="eastAsia"/>
          <w:color w:val="000000" w:themeColor="text1"/>
          <w:sz w:val="24"/>
          <w14:textFill>
            <w14:solidFill>
              <w14:schemeClr w14:val="tx1"/>
            </w14:solidFill>
          </w14:textFill>
        </w:rPr>
        <w:t>三分之二</w: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通过方可做出。</w:t>
      </w:r>
      <w:r>
        <w:rPr>
          <w:rFonts w:hint="eastAsia"/>
          <w:bCs/>
          <w:color w:val="000000" w:themeColor="text1"/>
          <w:sz w:val="24"/>
          <w14:textFill>
            <w14:solidFill>
              <w14:schemeClr w14:val="tx1"/>
            </w14:solidFill>
          </w14:textFill>
        </w:rPr>
        <w:t>除法律法规另有规定或基金合同另有约定外，</w:t>
      </w:r>
      <w:r>
        <w:rPr>
          <w:bCs/>
          <w:color w:val="000000" w:themeColor="text1"/>
          <w:sz w:val="24"/>
          <w14:textFill>
            <w14:solidFill>
              <w14:schemeClr w14:val="tx1"/>
            </w14:solidFill>
          </w14:textFill>
        </w:rPr>
        <w:t>转换基金运作方式、更换基金管理人或者基金托管人、终止《基金合同》、</w:t>
      </w:r>
      <w:r>
        <w:rPr>
          <w:color w:val="000000" w:themeColor="text1"/>
          <w:sz w:val="24"/>
          <w14:textFill>
            <w14:solidFill>
              <w14:schemeClr w14:val="tx1"/>
            </w14:solidFill>
          </w14:textFill>
        </w:rPr>
        <w:t>本基金与其他基金合并</w:t>
      </w:r>
      <w:r>
        <w:rPr>
          <w:bCs/>
          <w:color w:val="000000" w:themeColor="text1"/>
          <w:sz w:val="24"/>
          <w14:textFill>
            <w14:solidFill>
              <w14:schemeClr w14:val="tx1"/>
            </w14:solidFill>
          </w14:textFill>
        </w:rPr>
        <w:t>以特别决议通过方为有效。</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基金份额持有人大会采取记名方式进行投票表决。</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ascii="宋体" w:hAnsi="宋体"/>
          <w:color w:val="000000" w:themeColor="text1"/>
          <w:sz w:val="24"/>
          <w14:textFill>
            <w14:solidFill>
              <w14:schemeClr w14:val="tx1"/>
            </w14:solidFill>
          </w14:textFill>
        </w:rPr>
        <w:t>表决</w:t>
      </w:r>
      <w:r>
        <w:rPr>
          <w:bCs/>
          <w:color w:val="000000" w:themeColor="text1"/>
          <w:sz w:val="24"/>
          <w14:textFill>
            <w14:solidFill>
              <w14:schemeClr w14:val="tx1"/>
            </w14:solidFill>
          </w14:textFill>
        </w:rPr>
        <w:t>意见的基金份额持有人所代表的基金份额总数。</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基金份额持有人大会的各项提案或同一项提案内并列的各项议题应当分开审议、逐项表决。</w:t>
      </w:r>
    </w:p>
    <w:p>
      <w:pPr>
        <w:spacing w:line="360" w:lineRule="auto"/>
        <w:ind w:firstLine="480" w:firstLineChars="200"/>
        <w:rPr>
          <w:rFonts w:ascii="Arial" w:hAnsi="Arial" w:cs="Arial"/>
          <w:bCs/>
          <w:color w:val="000000" w:themeColor="text1"/>
          <w:sz w:val="24"/>
          <w14:textFill>
            <w14:solidFill>
              <w14:schemeClr w14:val="tx1"/>
            </w14:solidFill>
          </w14:textFill>
        </w:rPr>
      </w:pPr>
      <w:r>
        <w:rPr>
          <w:rFonts w:ascii="Arial" w:hAnsi="Arial" w:cs="Arial"/>
          <w:bCs/>
          <w:color w:val="000000" w:themeColor="text1"/>
          <w:sz w:val="24"/>
          <w14:textFill>
            <w14:solidFill>
              <w14:schemeClr w14:val="tx1"/>
            </w14:solidFill>
          </w14:textFill>
        </w:rPr>
        <w:t>在上述规则的前提下，具体规则以召集人发布的基金份额持有人大会通知为准。</w:t>
      </w:r>
    </w:p>
    <w:p>
      <w:pPr>
        <w:spacing w:line="360" w:lineRule="auto"/>
        <w:ind w:firstLine="480" w:firstLineChars="200"/>
        <w:rPr>
          <w:bCs/>
          <w:color w:val="000000" w:themeColor="text1"/>
          <w:sz w:val="24"/>
          <w14:textFill>
            <w14:solidFill>
              <w14:schemeClr w14:val="tx1"/>
            </w14:solidFill>
          </w14:textFill>
        </w:rPr>
      </w:pPr>
      <w:bookmarkStart w:id="218" w:name="_Toc15641226"/>
      <w:bookmarkStart w:id="219" w:name="_Toc79392590"/>
      <w:bookmarkStart w:id="220" w:name="_Toc57530249"/>
      <w:r>
        <w:rPr>
          <w:bCs/>
          <w:color w:val="000000" w:themeColor="text1"/>
          <w:sz w:val="24"/>
          <w14:textFill>
            <w14:solidFill>
              <w14:schemeClr w14:val="tx1"/>
            </w14:solidFill>
          </w14:textFill>
        </w:rPr>
        <w:t>七、计票</w:t>
      </w:r>
      <w:bookmarkEnd w:id="218"/>
      <w:bookmarkEnd w:id="219"/>
      <w:bookmarkEnd w:id="220"/>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1、现场开会</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（2）监票人应当在基金份额持有人表决后立即进行清点并由大会主持人当场公布计票结果。</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（3）如果会议主持人或基金份额持有人或代理人对于提交的表决结果有</w:t>
      </w:r>
      <w:r>
        <w:rPr>
          <w:rFonts w:hint="eastAsia"/>
          <w:bCs/>
          <w:color w:val="000000" w:themeColor="text1"/>
          <w:sz w:val="24"/>
          <w14:textFill>
            <w14:solidFill>
              <w14:schemeClr w14:val="tx1"/>
            </w14:solidFill>
          </w14:textFill>
        </w:rPr>
        <w:t>异议</w:t>
      </w:r>
      <w:r>
        <w:rPr>
          <w:bCs/>
          <w:color w:val="000000" w:themeColor="text1"/>
          <w:sz w:val="24"/>
          <w14:textFill>
            <w14:solidFill>
              <w14:schemeClr w14:val="tx1"/>
            </w14:solidFill>
          </w14:textFill>
        </w:rPr>
        <w:t>，可以在宣布表决结果后立即对所投票数要求进行重新清点。监票人应当进行重新清点，重新清点以一次为限。重新清点后，大会主持人应当当场公布重新清点结果。</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（4）计票过程应由公证机关予以公证，基金管理人或基金托管人拒不出席大会的，不影响计票的效力。</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2、通讯开会</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1" w:name="_Toc57530250"/>
      <w:bookmarkStart w:id="222" w:name="_Toc79392591"/>
      <w:bookmarkStart w:id="223" w:name="_Toc15641227"/>
      <w:r>
        <w:rPr>
          <w:bCs/>
          <w:color w:val="000000" w:themeColor="text1"/>
          <w:sz w:val="24"/>
          <w14:textFill>
            <w14:solidFill>
              <w14:schemeClr w14:val="tx1"/>
            </w14:solidFill>
          </w14:textFill>
        </w:rPr>
        <w:t>。基金管理人或基金托管人拒派代表对表决意见的计票进行监督的，不影响计票和表决结果。</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八、生效与公告</w:t>
      </w:r>
      <w:bookmarkEnd w:id="221"/>
      <w:bookmarkEnd w:id="222"/>
      <w:bookmarkEnd w:id="223"/>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基金份额持有人大会的决议，召集人应当自通过之日起</w:t>
      </w:r>
      <w:r>
        <w:rPr>
          <w:rFonts w:hint="eastAsia"/>
          <w:bCs/>
          <w:color w:val="000000" w:themeColor="text1"/>
          <w:sz w:val="24"/>
          <w14:textFill>
            <w14:solidFill>
              <w14:schemeClr w14:val="tx1"/>
            </w14:solidFill>
          </w14:textFill>
        </w:rPr>
        <w:t>5</w:t>
      </w:r>
      <w:r>
        <w:rPr>
          <w:bCs/>
          <w:color w:val="000000" w:themeColor="text1"/>
          <w:sz w:val="24"/>
          <w14:textFill>
            <w14:solidFill>
              <w14:schemeClr w14:val="tx1"/>
            </w14:solidFill>
          </w14:textFill>
        </w:rPr>
        <w:t>日内报中国证监会备案。</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基金份额持有人大会的决议</w:t>
      </w:r>
      <w:r>
        <w:rPr>
          <w:color w:val="000000" w:themeColor="text1"/>
          <w:sz w:val="24"/>
          <w14:textFill>
            <w14:solidFill>
              <w14:schemeClr w14:val="tx1"/>
            </w14:solidFill>
          </w14:textFill>
        </w:rPr>
        <w:t>自表决通过之日起生效。</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基金份额持有人大会决议自生效之日起</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日内</w:t>
      </w:r>
      <w:r>
        <w:rPr>
          <w:bCs/>
          <w:color w:val="000000" w:themeColor="text1"/>
          <w:sz w:val="24"/>
          <w14:textFill>
            <w14:solidFill>
              <w14:schemeClr w14:val="tx1"/>
            </w14:solidFill>
          </w14:textFill>
        </w:rPr>
        <w:t>在</w:t>
      </w:r>
      <w:r>
        <w:rPr>
          <w:rFonts w:hint="eastAsia"/>
          <w:bCs/>
          <w:color w:val="000000" w:themeColor="text1"/>
          <w:sz w:val="24"/>
          <w14:textFill>
            <w14:solidFill>
              <w14:schemeClr w14:val="tx1"/>
            </w14:solidFill>
          </w14:textFill>
        </w:rPr>
        <w:t>规定媒介</w:t>
      </w:r>
      <w:r>
        <w:rPr>
          <w:bCs/>
          <w:color w:val="000000" w:themeColor="text1"/>
          <w:sz w:val="24"/>
          <w14:textFill>
            <w14:solidFill>
              <w14:schemeClr w14:val="tx1"/>
            </w14:solidFill>
          </w14:textFill>
        </w:rPr>
        <w:t>上公告。</w:t>
      </w:r>
      <w:bookmarkStart w:id="224" w:name="_Hlt88820702"/>
      <w:bookmarkEnd w:id="224"/>
      <w:r>
        <w:rPr>
          <w:bCs/>
          <w:color w:val="000000" w:themeColor="text1"/>
          <w:sz w:val="24"/>
          <w14:textFill>
            <w14:solidFill>
              <w14:schemeClr w14:val="tx1"/>
            </w14:solidFill>
          </w14:textFill>
        </w:rPr>
        <w:t>如果采用通讯方式进行表决，在公告基金份额持有人大会决议时，必须将公证书全文、公证机构、公证员姓名等一同公告。</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rPr>
          <w:bCs/>
          <w:color w:val="000000" w:themeColor="text1"/>
          <w:sz w:val="24"/>
          <w14:textFill>
            <w14:solidFill>
              <w14:schemeClr w14:val="tx1"/>
            </w14:solidFill>
          </w14:textFill>
        </w:rPr>
      </w:pPr>
      <w:bookmarkStart w:id="225" w:name="_Toc1745"/>
      <w:bookmarkStart w:id="226" w:name="_Toc3963"/>
      <w:r>
        <w:rPr>
          <w:rFonts w:hint="eastAsia"/>
          <w:bCs/>
          <w:color w:val="000000" w:themeColor="text1"/>
          <w:sz w:val="24"/>
          <w14:textFill>
            <w14:solidFill>
              <w14:schemeClr w14:val="tx1"/>
            </w14:solidFill>
          </w14:textFill>
        </w:rPr>
        <w:t>九、</w:t>
      </w:r>
      <w:r>
        <w:rPr>
          <w:color w:val="000000" w:themeColor="text1"/>
          <w:kern w:val="0"/>
          <w:sz w:val="24"/>
          <w:szCs w:val="24"/>
          <w14:textFill>
            <w14:solidFill>
              <w14:schemeClr w14:val="tx1"/>
            </w14:solidFill>
          </w14:textFill>
        </w:rPr>
        <w:t>本部分关于基金份额持有人大会召开事由、召开条件、议事程序、表决条件等规定，凡是直接引用法律法规</w:t>
      </w:r>
      <w:r>
        <w:rPr>
          <w:rFonts w:hint="eastAsia"/>
          <w:color w:val="000000" w:themeColor="text1"/>
          <w:kern w:val="0"/>
          <w:sz w:val="24"/>
          <w:szCs w:val="24"/>
          <w14:textFill>
            <w14:solidFill>
              <w14:schemeClr w14:val="tx1"/>
            </w14:solidFill>
          </w14:textFill>
        </w:rPr>
        <w:t>或监管规则</w:t>
      </w:r>
      <w:r>
        <w:rPr>
          <w:color w:val="000000" w:themeColor="text1"/>
          <w:kern w:val="0"/>
          <w:sz w:val="24"/>
          <w:szCs w:val="24"/>
          <w14:textFill>
            <w14:solidFill>
              <w14:schemeClr w14:val="tx1"/>
            </w14:solidFill>
          </w14:textFill>
        </w:rPr>
        <w:t>的部分，如将来法律法规</w:t>
      </w:r>
      <w:r>
        <w:rPr>
          <w:rFonts w:hint="eastAsia"/>
          <w:color w:val="000000" w:themeColor="text1"/>
          <w:kern w:val="0"/>
          <w:sz w:val="24"/>
          <w:szCs w:val="24"/>
          <w14:textFill>
            <w14:solidFill>
              <w14:schemeClr w14:val="tx1"/>
            </w14:solidFill>
          </w14:textFill>
        </w:rPr>
        <w:t>或监管规则</w:t>
      </w:r>
      <w:r>
        <w:rPr>
          <w:color w:val="000000" w:themeColor="text1"/>
          <w:kern w:val="0"/>
          <w:sz w:val="24"/>
          <w:szCs w:val="24"/>
          <w14:textFill>
            <w14:solidFill>
              <w14:schemeClr w14:val="tx1"/>
            </w14:solidFill>
          </w14:textFill>
        </w:rPr>
        <w:t>修改导致相关内容被取消或变更的，基金管理人</w:t>
      </w:r>
      <w:r>
        <w:rPr>
          <w:rFonts w:hint="eastAsia"/>
          <w:bCs/>
          <w:color w:val="000000" w:themeColor="text1"/>
          <w:sz w:val="24"/>
          <w14:textFill>
            <w14:solidFill>
              <w14:schemeClr w14:val="tx1"/>
            </w14:solidFill>
          </w14:textFill>
        </w:rPr>
        <w:t>经与基金托管人协商一致并</w:t>
      </w:r>
      <w:r>
        <w:rPr>
          <w:color w:val="000000" w:themeColor="text1"/>
          <w:kern w:val="0"/>
          <w:sz w:val="24"/>
          <w:szCs w:val="24"/>
          <w14:textFill>
            <w14:solidFill>
              <w14:schemeClr w14:val="tx1"/>
            </w14:solidFill>
          </w14:textFill>
        </w:rPr>
        <w:t>提前公告后，可直接对本部分内容进行修改和调整，无需召开基金份额持有人大会审议</w:t>
      </w:r>
      <w:r>
        <w:rPr>
          <w:rFonts w:hint="eastAsia"/>
          <w:bCs/>
          <w:color w:val="000000" w:themeColor="text1"/>
          <w:sz w:val="24"/>
          <w14:textFill>
            <w14:solidFill>
              <w14:schemeClr w14:val="tx1"/>
            </w14:solidFill>
          </w14:textFill>
        </w:rPr>
        <w:t>。</w:t>
      </w:r>
    </w:p>
    <w:p>
      <w:pPr>
        <w:ind w:firstLine="482"/>
        <w:rPr>
          <w:color w:val="000000" w:themeColor="text1"/>
          <w14:textFill>
            <w14:solidFill>
              <w14:schemeClr w14:val="tx1"/>
            </w14:solidFill>
          </w14:textFill>
        </w:rPr>
      </w:pPr>
    </w:p>
    <w:p>
      <w:pPr>
        <w:pStyle w:val="2"/>
        <w:jc w:val="center"/>
        <w:rPr>
          <w:rFonts w:ascii="Times New Roman"/>
          <w:color w:val="000000" w:themeColor="text1"/>
          <w14:textFill>
            <w14:solidFill>
              <w14:schemeClr w14:val="tx1"/>
            </w14:solidFill>
          </w14:textFill>
        </w:rPr>
      </w:pPr>
      <w:r>
        <w:rPr>
          <w:rFonts w:ascii="Times New Roman"/>
          <w:b w:val="0"/>
          <w:bCs/>
          <w:color w:val="000000" w:themeColor="text1"/>
          <w14:textFill>
            <w14:solidFill>
              <w14:schemeClr w14:val="tx1"/>
            </w14:solidFill>
          </w14:textFill>
        </w:rPr>
        <w:br w:type="page"/>
      </w:r>
      <w:bookmarkStart w:id="227" w:name="_Toc123102456"/>
      <w:bookmarkStart w:id="228" w:name="_Toc3572"/>
      <w:bookmarkStart w:id="229" w:name="_Toc21735"/>
      <w:bookmarkStart w:id="230" w:name="_Toc123051455"/>
      <w:bookmarkStart w:id="231" w:name="_Toc16164"/>
      <w:bookmarkStart w:id="232" w:name="_Toc98560355"/>
      <w:bookmarkStart w:id="233" w:name="_Toc139991739"/>
      <w:bookmarkStart w:id="234" w:name="_Toc725"/>
      <w:bookmarkStart w:id="235" w:name="_Toc10398"/>
      <w:bookmarkStart w:id="236" w:name="_Toc31821"/>
      <w:bookmarkStart w:id="237" w:name="_Toc3080"/>
      <w:bookmarkStart w:id="238" w:name="_Toc104716697"/>
      <w:bookmarkStart w:id="239" w:name="_Toc123112237"/>
      <w:bookmarkStart w:id="240" w:name="_Toc141703889"/>
      <w:bookmarkStart w:id="241" w:name="_Toc18206"/>
      <w:r>
        <w:rPr>
          <w:rFonts w:ascii="Times New Roman"/>
          <w:color w:val="000000" w:themeColor="text1"/>
          <w:sz w:val="30"/>
          <w14:textFill>
            <w14:solidFill>
              <w14:schemeClr w14:val="tx1"/>
            </w14:solidFill>
          </w14:textFill>
        </w:rPr>
        <w:t>第</w:t>
      </w:r>
      <w:r>
        <w:rPr>
          <w:rFonts w:hint="eastAsia" w:ascii="Times New Roman"/>
          <w:color w:val="000000" w:themeColor="text1"/>
          <w:sz w:val="30"/>
          <w14:textFill>
            <w14:solidFill>
              <w14:schemeClr w14:val="tx1"/>
            </w14:solidFill>
          </w14:textFill>
        </w:rPr>
        <w:t>十一</w:t>
      </w:r>
      <w:r>
        <w:rPr>
          <w:rFonts w:ascii="Times New Roman"/>
          <w:color w:val="000000" w:themeColor="text1"/>
          <w:sz w:val="30"/>
          <w14:textFill>
            <w14:solidFill>
              <w14:schemeClr w14:val="tx1"/>
            </w14:solidFill>
          </w14:textFill>
        </w:rPr>
        <w:t>部分  基金管理人、基金托管人的更换条件和程序</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autoSpaceDE w:val="0"/>
        <w:autoSpaceDN w:val="0"/>
        <w:spacing w:line="360" w:lineRule="auto"/>
        <w:textAlignment w:val="bottom"/>
        <w:rPr>
          <w:bCs/>
          <w:color w:val="000000" w:themeColor="text1"/>
          <w:sz w:val="24"/>
          <w14:textFill>
            <w14:solidFill>
              <w14:schemeClr w14:val="tx1"/>
            </w14:solidFill>
          </w14:textFill>
        </w:rPr>
      </w:pPr>
      <w:bookmarkStart w:id="242" w:name="_Toc57530252"/>
      <w:bookmarkStart w:id="243" w:name="_Toc79392593"/>
      <w:bookmarkStart w:id="244" w:name="_Toc15118245"/>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一、基金管理人和基金托管人职责终止的情形</w:t>
      </w:r>
      <w:bookmarkEnd w:id="242"/>
      <w:bookmarkEnd w:id="243"/>
      <w:bookmarkEnd w:id="244"/>
    </w:p>
    <w:p>
      <w:pPr>
        <w:spacing w:line="360" w:lineRule="auto"/>
        <w:ind w:firstLine="480" w:firstLineChars="200"/>
        <w:rPr>
          <w:bCs/>
          <w:color w:val="000000" w:themeColor="text1"/>
          <w:sz w:val="24"/>
          <w14:textFill>
            <w14:solidFill>
              <w14:schemeClr w14:val="tx1"/>
            </w14:solidFill>
          </w14:textFill>
        </w:rPr>
      </w:pPr>
      <w:bookmarkStart w:id="245" w:name="_Toc22005971"/>
      <w:r>
        <w:rPr>
          <w:bCs/>
          <w:color w:val="000000" w:themeColor="text1"/>
          <w:sz w:val="24"/>
          <w14:textFill>
            <w14:solidFill>
              <w14:schemeClr w14:val="tx1"/>
            </w14:solidFill>
          </w14:textFill>
        </w:rPr>
        <w:t>（一）基金管理人职责终止的情形</w:t>
      </w:r>
      <w:bookmarkEnd w:id="245"/>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有下列情形之一的，基金管理人职责终止：</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1、被依法取消基金管理资格；</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2、被基金份额持有人大会解任；</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3、依法解散、被依法撤销或被依法宣告破产；</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r>
        <w:rPr>
          <w:rFonts w:hint="eastAsia"/>
          <w:bCs/>
          <w:color w:val="000000" w:themeColor="text1"/>
          <w:sz w:val="24"/>
          <w14:textFill>
            <w14:solidFill>
              <w14:schemeClr w14:val="tx1"/>
            </w14:solidFill>
          </w14:textFill>
        </w:rPr>
        <w:t>法律法规及中国证监会规定的和《基金合同》约定的其他</w:t>
      </w:r>
      <w:r>
        <w:rPr>
          <w:bCs/>
          <w:color w:val="000000" w:themeColor="text1"/>
          <w:sz w:val="24"/>
          <w14:textFill>
            <w14:solidFill>
              <w14:schemeClr w14:val="tx1"/>
            </w14:solidFill>
          </w14:textFill>
        </w:rPr>
        <w:t>情形。</w:t>
      </w:r>
    </w:p>
    <w:p>
      <w:pPr>
        <w:spacing w:line="360" w:lineRule="auto"/>
        <w:ind w:firstLine="480" w:firstLineChars="200"/>
        <w:rPr>
          <w:bCs/>
          <w:color w:val="000000" w:themeColor="text1"/>
          <w:sz w:val="24"/>
          <w14:textFill>
            <w14:solidFill>
              <w14:schemeClr w14:val="tx1"/>
            </w14:solidFill>
          </w14:textFill>
        </w:rPr>
      </w:pPr>
      <w:bookmarkStart w:id="246" w:name="_Toc22005972"/>
      <w:r>
        <w:rPr>
          <w:bCs/>
          <w:color w:val="000000" w:themeColor="text1"/>
          <w:sz w:val="24"/>
          <w14:textFill>
            <w14:solidFill>
              <w14:schemeClr w14:val="tx1"/>
            </w14:solidFill>
          </w14:textFill>
        </w:rPr>
        <w:t>（二）基金托管人职责终止的情形</w:t>
      </w:r>
      <w:bookmarkEnd w:id="246"/>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有下列情形之一的，基金托管人职责终止：</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1、被依法取消基金托管资格；</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2、被基金份额持有人大会解任；</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3、依法解散、被依法撤销或被依法宣告破产；</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r>
        <w:rPr>
          <w:rFonts w:hint="eastAsia"/>
          <w:bCs/>
          <w:color w:val="000000" w:themeColor="text1"/>
          <w:sz w:val="24"/>
          <w14:textFill>
            <w14:solidFill>
              <w14:schemeClr w14:val="tx1"/>
            </w14:solidFill>
          </w14:textFill>
        </w:rPr>
        <w:t>法律法规及中国证监会规定的和《基金合同》约定的其他</w:t>
      </w:r>
      <w:r>
        <w:rPr>
          <w:bCs/>
          <w:color w:val="000000" w:themeColor="text1"/>
          <w:sz w:val="24"/>
          <w14:textFill>
            <w14:solidFill>
              <w14:schemeClr w14:val="tx1"/>
            </w14:solidFill>
          </w14:textFill>
        </w:rPr>
        <w:t>情形。</w:t>
      </w:r>
    </w:p>
    <w:p>
      <w:pPr>
        <w:spacing w:line="360" w:lineRule="auto"/>
        <w:ind w:firstLine="480" w:firstLineChars="200"/>
        <w:rPr>
          <w:bCs/>
          <w:color w:val="000000" w:themeColor="text1"/>
          <w:sz w:val="24"/>
          <w14:textFill>
            <w14:solidFill>
              <w14:schemeClr w14:val="tx1"/>
            </w14:solidFill>
          </w14:textFill>
        </w:rPr>
      </w:pPr>
      <w:bookmarkStart w:id="247" w:name="_Toc79392594"/>
      <w:bookmarkStart w:id="248" w:name="_Toc57530253"/>
      <w:bookmarkStart w:id="249" w:name="_Toc15118246"/>
      <w:r>
        <w:rPr>
          <w:bCs/>
          <w:color w:val="000000" w:themeColor="text1"/>
          <w:sz w:val="24"/>
          <w14:textFill>
            <w14:solidFill>
              <w14:schemeClr w14:val="tx1"/>
            </w14:solidFill>
          </w14:textFill>
        </w:rPr>
        <w:t>二、基金管理人和基金托管人的更换程序</w:t>
      </w:r>
      <w:bookmarkEnd w:id="247"/>
      <w:bookmarkEnd w:id="248"/>
      <w:bookmarkEnd w:id="249"/>
    </w:p>
    <w:p>
      <w:pPr>
        <w:spacing w:line="360" w:lineRule="auto"/>
        <w:ind w:firstLine="480" w:firstLineChars="200"/>
        <w:rPr>
          <w:bCs/>
          <w:color w:val="000000" w:themeColor="text1"/>
          <w:sz w:val="24"/>
          <w14:textFill>
            <w14:solidFill>
              <w14:schemeClr w14:val="tx1"/>
            </w14:solidFill>
          </w14:textFill>
        </w:rPr>
      </w:pPr>
      <w:bookmarkStart w:id="250" w:name="_Toc22005974"/>
      <w:r>
        <w:rPr>
          <w:bCs/>
          <w:color w:val="000000" w:themeColor="text1"/>
          <w:sz w:val="24"/>
          <w14:textFill>
            <w14:solidFill>
              <w14:schemeClr w14:val="tx1"/>
            </w14:solidFill>
          </w14:textFill>
        </w:rPr>
        <w:t>（一）基金管理人的更换程序</w:t>
      </w:r>
      <w:bookmarkEnd w:id="250"/>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1、提名：新任基金管理人由基金托管人或由单独或合计持有</w:t>
      </w:r>
      <w:r>
        <w:rPr>
          <w:rFonts w:hint="eastAsia"/>
          <w:color w:val="000000" w:themeColor="text1"/>
          <w:sz w:val="24"/>
          <w14:textFill>
            <w14:solidFill>
              <w14:schemeClr w14:val="tx1"/>
            </w14:solidFill>
          </w14:textFill>
        </w:rPr>
        <w:t>10%</w:t>
      </w:r>
      <w:r>
        <w:rPr>
          <w:color w:val="000000" w:themeColor="text1"/>
          <w:sz w:val="24"/>
          <w14:textFill>
            <w14:solidFill>
              <w14:schemeClr w14:val="tx1"/>
            </w14:solidFill>
          </w14:textFill>
        </w:rPr>
        <w:t>以上（含</w:t>
      </w:r>
      <w:r>
        <w:rPr>
          <w:rFonts w:hint="eastAsia"/>
          <w:color w:val="000000" w:themeColor="text1"/>
          <w:sz w:val="24"/>
          <w14:textFill>
            <w14:solidFill>
              <w14:schemeClr w14:val="tx1"/>
            </w14:solidFill>
          </w14:textFill>
        </w:rPr>
        <w:t>10%</w: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基金份额的基金份额持有人提名；</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2、决议：基金份额持有人大会在基金管理人职责终止后</w:t>
      </w:r>
      <w:r>
        <w:rPr>
          <w:rFonts w:hint="eastAsia"/>
          <w:color w:val="000000" w:themeColor="text1"/>
          <w:sz w:val="24"/>
          <w14:textFill>
            <w14:solidFill>
              <w14:schemeClr w14:val="tx1"/>
            </w14:solidFill>
          </w14:textFill>
        </w:rPr>
        <w:t>6</w:t>
      </w:r>
      <w:r>
        <w:rPr>
          <w:color w:val="000000" w:themeColor="text1"/>
          <w:sz w:val="24"/>
          <w14:textFill>
            <w14:solidFill>
              <w14:schemeClr w14:val="tx1"/>
            </w14:solidFill>
          </w14:textFill>
        </w:rPr>
        <w:t>个月内</w:t>
      </w:r>
      <w:r>
        <w:rPr>
          <w:bCs/>
          <w:color w:val="000000" w:themeColor="text1"/>
          <w:sz w:val="24"/>
          <w14:textFill>
            <w14:solidFill>
              <w14:schemeClr w14:val="tx1"/>
            </w14:solidFill>
          </w14:textFill>
        </w:rPr>
        <w:t>对被提名的基金管理人形成决议，该决议需经参加大会的基金份额持有人所持表决权的</w:t>
      </w:r>
      <w:r>
        <w:rPr>
          <w:rFonts w:hint="eastAsia"/>
          <w:color w:val="000000" w:themeColor="text1"/>
          <w:sz w:val="24"/>
          <w14:textFill>
            <w14:solidFill>
              <w14:schemeClr w14:val="tx1"/>
            </w14:solidFill>
          </w14:textFill>
        </w:rPr>
        <w:t>三分之二</w:t>
      </w:r>
      <w:r>
        <w:rPr>
          <w:color w:val="000000" w:themeColor="text1"/>
          <w:sz w:val="24"/>
          <w14:textFill>
            <w14:solidFill>
              <w14:schemeClr w14:val="tx1"/>
            </w14:solidFill>
          </w14:textFill>
        </w:rPr>
        <w:t>以上（含</w:t>
      </w:r>
      <w:r>
        <w:rPr>
          <w:rFonts w:hint="eastAsia"/>
          <w:color w:val="000000" w:themeColor="text1"/>
          <w:sz w:val="24"/>
          <w14:textFill>
            <w14:solidFill>
              <w14:schemeClr w14:val="tx1"/>
            </w14:solidFill>
          </w14:textFill>
        </w:rPr>
        <w:t>三分之二</w: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表决通过，</w:t>
      </w:r>
      <w:r>
        <w:rPr>
          <w:color w:val="000000" w:themeColor="text1"/>
          <w:sz w:val="24"/>
          <w14:textFill>
            <w14:solidFill>
              <w14:schemeClr w14:val="tx1"/>
            </w14:solidFill>
          </w14:textFill>
        </w:rPr>
        <w:t>决议自表决通过之日起生效；</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3、临时基金管理人：新任基金管理人产生之前，由中国证监会指定临时基金管理人；</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备案</w:t>
      </w:r>
      <w:r>
        <w:rPr>
          <w:bCs/>
          <w:color w:val="000000" w:themeColor="text1"/>
          <w:sz w:val="24"/>
          <w14:textFill>
            <w14:solidFill>
              <w14:schemeClr w14:val="tx1"/>
            </w14:solidFill>
          </w14:textFill>
        </w:rPr>
        <w:t>：基金份额持有人大会更换基金管理人的决议须</w:t>
      </w:r>
      <w:r>
        <w:rPr>
          <w:rFonts w:hint="eastAsia"/>
          <w:bCs/>
          <w:color w:val="000000" w:themeColor="text1"/>
          <w:sz w:val="24"/>
          <w14:textFill>
            <w14:solidFill>
              <w14:schemeClr w14:val="tx1"/>
            </w14:solidFill>
          </w14:textFill>
        </w:rPr>
        <w:t>报</w:t>
      </w:r>
      <w:r>
        <w:rPr>
          <w:bCs/>
          <w:color w:val="000000" w:themeColor="text1"/>
          <w:sz w:val="24"/>
          <w14:textFill>
            <w14:solidFill>
              <w14:schemeClr w14:val="tx1"/>
            </w14:solidFill>
          </w14:textFill>
        </w:rPr>
        <w:t>中国证监会</w:t>
      </w:r>
      <w:r>
        <w:rPr>
          <w:rFonts w:hint="eastAsia"/>
          <w:bCs/>
          <w:color w:val="000000" w:themeColor="text1"/>
          <w:sz w:val="24"/>
          <w14:textFill>
            <w14:solidFill>
              <w14:schemeClr w14:val="tx1"/>
            </w14:solidFill>
          </w14:textFill>
        </w:rPr>
        <w:t>备案</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5、公告：基金管理人更换后，由基金托管人在</w:t>
      </w:r>
      <w:r>
        <w:rPr>
          <w:color w:val="000000" w:themeColor="text1"/>
          <w:sz w:val="24"/>
          <w14:textFill>
            <w14:solidFill>
              <w14:schemeClr w14:val="tx1"/>
            </w14:solidFill>
          </w14:textFill>
        </w:rPr>
        <w:t>更换基金管理人的基金份额持有人大会决议生效后</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日内</w:t>
      </w:r>
      <w:r>
        <w:rPr>
          <w:bCs/>
          <w:color w:val="000000" w:themeColor="text1"/>
          <w:sz w:val="24"/>
          <w14:textFill>
            <w14:solidFill>
              <w14:schemeClr w14:val="tx1"/>
            </w14:solidFill>
          </w14:textFill>
        </w:rPr>
        <w:t>在</w:t>
      </w:r>
      <w:r>
        <w:rPr>
          <w:rFonts w:hint="eastAsia"/>
          <w:bCs/>
          <w:color w:val="000000" w:themeColor="text1"/>
          <w:sz w:val="24"/>
          <w14:textFill>
            <w14:solidFill>
              <w14:schemeClr w14:val="tx1"/>
            </w14:solidFill>
          </w14:textFill>
        </w:rPr>
        <w:t>规定媒介</w:t>
      </w:r>
      <w:r>
        <w:rPr>
          <w:bCs/>
          <w:color w:val="000000" w:themeColor="text1"/>
          <w:sz w:val="24"/>
          <w14:textFill>
            <w14:solidFill>
              <w14:schemeClr w14:val="tx1"/>
            </w14:solidFill>
          </w14:textFill>
        </w:rPr>
        <w:t>公告</w:t>
      </w:r>
      <w:r>
        <w:rPr>
          <w:rFonts w:hint="eastAsia"/>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6、交接：基金管理人职责终止的，基金管理人应妥善保管基金管理业务资料，及时向临时基金管理人或新任基金管理人办理基金管理业务的移交手续，临时基金管理人或新任基金管理人应及时接收。</w:t>
      </w:r>
      <w:r>
        <w:rPr>
          <w:rFonts w:hint="eastAsia"/>
          <w:bCs/>
          <w:color w:val="000000" w:themeColor="text1"/>
          <w:sz w:val="24"/>
          <w14:textFill>
            <w14:solidFill>
              <w14:schemeClr w14:val="tx1"/>
            </w14:solidFill>
          </w14:textFill>
        </w:rPr>
        <w:t>临时基金管理人或</w:t>
      </w:r>
      <w:r>
        <w:rPr>
          <w:bCs/>
          <w:color w:val="000000" w:themeColor="text1"/>
          <w:sz w:val="24"/>
          <w14:textFill>
            <w14:solidFill>
              <w14:schemeClr w14:val="tx1"/>
            </w14:solidFill>
          </w14:textFill>
        </w:rPr>
        <w:t>新任基金管理人应与基金托管人核对基金资产总值</w:t>
      </w:r>
      <w:r>
        <w:rPr>
          <w:rFonts w:hint="eastAsia" w:ascii="宋体" w:hAnsi="宋体"/>
          <w:color w:val="000000" w:themeColor="text1"/>
          <w:sz w:val="24"/>
          <w14:textFill>
            <w14:solidFill>
              <w14:schemeClr w14:val="tx1"/>
            </w14:solidFill>
          </w14:textFill>
        </w:rPr>
        <w:t>和净值</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7、审计：基金管理人职责终止的，应当按照法律法规规定聘请会计师事务所对基金财产进行审计，并将审计结果予以公告，同时报中国证监会备案</w:t>
      </w:r>
      <w:r>
        <w:rPr>
          <w:rFonts w:hint="eastAsia"/>
          <w:bCs/>
          <w:color w:val="000000" w:themeColor="text1"/>
          <w:sz w:val="24"/>
          <w14:textFill>
            <w14:solidFill>
              <w14:schemeClr w14:val="tx1"/>
            </w14:solidFill>
          </w14:textFill>
        </w:rPr>
        <w:t>，审计费用从基金财产中列支</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8、基金名称变更：基金管理人更换后，如果原任或新任基金管理人要求，应按其要求替换或删除基金名称中与原基金管理人有关的名称字样。</w:t>
      </w:r>
    </w:p>
    <w:p>
      <w:pPr>
        <w:spacing w:line="360" w:lineRule="auto"/>
        <w:ind w:firstLine="480" w:firstLineChars="200"/>
        <w:rPr>
          <w:bCs/>
          <w:color w:val="000000" w:themeColor="text1"/>
          <w:sz w:val="24"/>
          <w14:textFill>
            <w14:solidFill>
              <w14:schemeClr w14:val="tx1"/>
            </w14:solidFill>
          </w14:textFill>
        </w:rPr>
      </w:pPr>
      <w:bookmarkStart w:id="251" w:name="_Toc22005975"/>
      <w:r>
        <w:rPr>
          <w:bCs/>
          <w:color w:val="000000" w:themeColor="text1"/>
          <w:sz w:val="24"/>
          <w14:textFill>
            <w14:solidFill>
              <w14:schemeClr w14:val="tx1"/>
            </w14:solidFill>
          </w14:textFill>
        </w:rPr>
        <w:t>（二）基金托管人的更换程序</w:t>
      </w:r>
      <w:bookmarkEnd w:id="251"/>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1、提名：新任基金托管人由基金管理人或由单独或合计持有</w:t>
      </w:r>
      <w:r>
        <w:rPr>
          <w:rFonts w:hint="eastAsia"/>
          <w:color w:val="000000" w:themeColor="text1"/>
          <w:sz w:val="24"/>
          <w14:textFill>
            <w14:solidFill>
              <w14:schemeClr w14:val="tx1"/>
            </w14:solidFill>
          </w14:textFill>
        </w:rPr>
        <w:t>10%</w:t>
      </w:r>
      <w:r>
        <w:rPr>
          <w:color w:val="000000" w:themeColor="text1"/>
          <w:sz w:val="24"/>
          <w14:textFill>
            <w14:solidFill>
              <w14:schemeClr w14:val="tx1"/>
            </w14:solidFill>
          </w14:textFill>
        </w:rPr>
        <w:t>以上（含</w:t>
      </w:r>
      <w:r>
        <w:rPr>
          <w:rFonts w:hint="eastAsia"/>
          <w:color w:val="000000" w:themeColor="text1"/>
          <w:sz w:val="24"/>
          <w14:textFill>
            <w14:solidFill>
              <w14:schemeClr w14:val="tx1"/>
            </w14:solidFill>
          </w14:textFill>
        </w:rPr>
        <w:t>10%</w: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基金份额的基金</w:t>
      </w:r>
      <w:r>
        <w:rPr>
          <w:rFonts w:hint="eastAsia"/>
          <w:bCs/>
          <w:color w:val="000000" w:themeColor="text1"/>
          <w:sz w:val="24"/>
          <w14:textFill>
            <w14:solidFill>
              <w14:schemeClr w14:val="tx1"/>
            </w14:solidFill>
          </w14:textFill>
        </w:rPr>
        <w:t>份额</w:t>
      </w:r>
      <w:r>
        <w:rPr>
          <w:bCs/>
          <w:color w:val="000000" w:themeColor="text1"/>
          <w:sz w:val="24"/>
          <w14:textFill>
            <w14:solidFill>
              <w14:schemeClr w14:val="tx1"/>
            </w14:solidFill>
          </w14:textFill>
        </w:rPr>
        <w:t>持有人提名；</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2、决议：基金份额持有人大会在基金托管人职责终止后</w:t>
      </w:r>
      <w:r>
        <w:rPr>
          <w:rFonts w:hint="eastAsia"/>
          <w:color w:val="000000" w:themeColor="text1"/>
          <w:sz w:val="24"/>
          <w14:textFill>
            <w14:solidFill>
              <w14:schemeClr w14:val="tx1"/>
            </w14:solidFill>
          </w14:textFill>
        </w:rPr>
        <w:t>6</w:t>
      </w:r>
      <w:r>
        <w:rPr>
          <w:color w:val="000000" w:themeColor="text1"/>
          <w:sz w:val="24"/>
          <w14:textFill>
            <w14:solidFill>
              <w14:schemeClr w14:val="tx1"/>
            </w14:solidFill>
          </w14:textFill>
        </w:rPr>
        <w:t>个月内</w:t>
      </w:r>
      <w:r>
        <w:rPr>
          <w:bCs/>
          <w:color w:val="000000" w:themeColor="text1"/>
          <w:sz w:val="24"/>
          <w14:textFill>
            <w14:solidFill>
              <w14:schemeClr w14:val="tx1"/>
            </w14:solidFill>
          </w14:textFill>
        </w:rPr>
        <w:t>对被提名的基金托管人形成决议，该决议需经参加大会的基金份额持有人所持表决权的</w:t>
      </w:r>
      <w:r>
        <w:rPr>
          <w:rFonts w:hint="eastAsia"/>
          <w:color w:val="000000" w:themeColor="text1"/>
          <w:sz w:val="24"/>
          <w14:textFill>
            <w14:solidFill>
              <w14:schemeClr w14:val="tx1"/>
            </w14:solidFill>
          </w14:textFill>
        </w:rPr>
        <w:t>三分之二</w:t>
      </w:r>
      <w:r>
        <w:rPr>
          <w:color w:val="000000" w:themeColor="text1"/>
          <w:sz w:val="24"/>
          <w14:textFill>
            <w14:solidFill>
              <w14:schemeClr w14:val="tx1"/>
            </w14:solidFill>
          </w14:textFill>
        </w:rPr>
        <w:t>以上（含</w:t>
      </w:r>
      <w:r>
        <w:rPr>
          <w:rFonts w:hint="eastAsia"/>
          <w:color w:val="000000" w:themeColor="text1"/>
          <w:sz w:val="24"/>
          <w14:textFill>
            <w14:solidFill>
              <w14:schemeClr w14:val="tx1"/>
            </w14:solidFill>
          </w14:textFill>
        </w:rPr>
        <w:t>三分之二</w: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表决通过</w:t>
      </w:r>
      <w:r>
        <w:rPr>
          <w:rFonts w:hint="eastAsia"/>
          <w:bCs/>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决议自表决通过之日起生效</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3、临时基金托管人：新任基金托管人产生之前，由中国证监会指定临时基金托管人；</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备案</w:t>
      </w:r>
      <w:r>
        <w:rPr>
          <w:bCs/>
          <w:color w:val="000000" w:themeColor="text1"/>
          <w:sz w:val="24"/>
          <w14:textFill>
            <w14:solidFill>
              <w14:schemeClr w14:val="tx1"/>
            </w14:solidFill>
          </w14:textFill>
        </w:rPr>
        <w:t>：基金份额持有人大会更换基金托管人的决议须</w:t>
      </w:r>
      <w:r>
        <w:rPr>
          <w:rFonts w:hint="eastAsia"/>
          <w:bCs/>
          <w:color w:val="000000" w:themeColor="text1"/>
          <w:sz w:val="24"/>
          <w14:textFill>
            <w14:solidFill>
              <w14:schemeClr w14:val="tx1"/>
            </w14:solidFill>
          </w14:textFill>
        </w:rPr>
        <w:t>报</w:t>
      </w:r>
      <w:r>
        <w:rPr>
          <w:bCs/>
          <w:color w:val="000000" w:themeColor="text1"/>
          <w:sz w:val="24"/>
          <w14:textFill>
            <w14:solidFill>
              <w14:schemeClr w14:val="tx1"/>
            </w14:solidFill>
          </w14:textFill>
        </w:rPr>
        <w:t>中国证监会</w:t>
      </w:r>
      <w:r>
        <w:rPr>
          <w:rFonts w:hint="eastAsia"/>
          <w:bCs/>
          <w:color w:val="000000" w:themeColor="text1"/>
          <w:sz w:val="24"/>
          <w14:textFill>
            <w14:solidFill>
              <w14:schemeClr w14:val="tx1"/>
            </w14:solidFill>
          </w14:textFill>
        </w:rPr>
        <w:t>备案</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5、公告：基金托管人更换后，</w:t>
      </w:r>
      <w:r>
        <w:rPr>
          <w:color w:val="000000" w:themeColor="text1"/>
          <w:sz w:val="24"/>
          <w14:textFill>
            <w14:solidFill>
              <w14:schemeClr w14:val="tx1"/>
            </w14:solidFill>
          </w14:textFill>
        </w:rPr>
        <w:t>由基金管理人在更换基金托管人的基金份额持有人大会决议生效后</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日内</w:t>
      </w:r>
      <w:r>
        <w:rPr>
          <w:bCs/>
          <w:color w:val="000000" w:themeColor="text1"/>
          <w:sz w:val="24"/>
          <w14:textFill>
            <w14:solidFill>
              <w14:schemeClr w14:val="tx1"/>
            </w14:solidFill>
          </w14:textFill>
        </w:rPr>
        <w:t>在</w:t>
      </w:r>
      <w:r>
        <w:rPr>
          <w:rFonts w:hint="eastAsia"/>
          <w:bCs/>
          <w:color w:val="000000" w:themeColor="text1"/>
          <w:sz w:val="24"/>
          <w14:textFill>
            <w14:solidFill>
              <w14:schemeClr w14:val="tx1"/>
            </w14:solidFill>
          </w14:textFill>
        </w:rPr>
        <w:t>规定媒介</w:t>
      </w:r>
      <w:r>
        <w:rPr>
          <w:bCs/>
          <w:color w:val="000000" w:themeColor="text1"/>
          <w:sz w:val="24"/>
          <w14:textFill>
            <w14:solidFill>
              <w14:schemeClr w14:val="tx1"/>
            </w14:solidFill>
          </w14:textFill>
        </w:rPr>
        <w:t>公告</w:t>
      </w:r>
      <w:r>
        <w:rPr>
          <w:rFonts w:hint="eastAsia"/>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color w:val="000000" w:themeColor="text1"/>
          <w:sz w:val="24"/>
          <w14:textFill>
            <w14:solidFill>
              <w14:schemeClr w14:val="tx1"/>
            </w14:solidFill>
          </w14:textFill>
        </w:rPr>
        <w:t>或者临时基金托管人应</w:t>
      </w:r>
      <w:r>
        <w:rPr>
          <w:bCs/>
          <w:color w:val="000000" w:themeColor="text1"/>
          <w:sz w:val="24"/>
          <w14:textFill>
            <w14:solidFill>
              <w14:schemeClr w14:val="tx1"/>
            </w14:solidFill>
          </w14:textFill>
        </w:rPr>
        <w:t>与基金管理人核对基金资产总值</w:t>
      </w:r>
      <w:r>
        <w:rPr>
          <w:rFonts w:hint="eastAsia" w:ascii="宋体" w:hAnsi="宋体"/>
          <w:color w:val="000000" w:themeColor="text1"/>
          <w:sz w:val="24"/>
          <w14:textFill>
            <w14:solidFill>
              <w14:schemeClr w14:val="tx1"/>
            </w14:solidFill>
          </w14:textFill>
        </w:rPr>
        <w:t>和净值</w:t>
      </w:r>
      <w:r>
        <w:rPr>
          <w:bCs/>
          <w:color w:val="000000" w:themeColor="text1"/>
          <w:sz w:val="24"/>
          <w14:textFill>
            <w14:solidFill>
              <w14:schemeClr w14:val="tx1"/>
            </w14:solidFill>
          </w14:textFill>
        </w:rPr>
        <w:t xml:space="preserve">； </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7、审计：基金托管人职责终止的，应当按照法律法规规定聘请会计师事务所对基金财产进行审计，并将审计结果予以公告，同时报中国证监会备案</w:t>
      </w:r>
      <w:r>
        <w:rPr>
          <w:rFonts w:hint="eastAsia"/>
          <w:bCs/>
          <w:color w:val="000000" w:themeColor="text1"/>
          <w:sz w:val="24"/>
          <w14:textFill>
            <w14:solidFill>
              <w14:schemeClr w14:val="tx1"/>
            </w14:solidFill>
          </w14:textFill>
        </w:rPr>
        <w:t>，审计费用从基金财产中列支</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bookmarkStart w:id="252" w:name="_Toc1357"/>
      <w:r>
        <w:rPr>
          <w:bCs/>
          <w:color w:val="000000" w:themeColor="text1"/>
          <w:sz w:val="24"/>
          <w14:textFill>
            <w14:solidFill>
              <w14:schemeClr w14:val="tx1"/>
            </w14:solidFill>
          </w14:textFill>
        </w:rPr>
        <w:t>（三）基金管理人与基金托管人同时更换的条件和程序</w:t>
      </w:r>
      <w:bookmarkEnd w:id="252"/>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提名：如果基金管理人和基金托管人同时更换，由单独或合计持有基金总份额</w:t>
      </w:r>
      <w:r>
        <w:rPr>
          <w:rFonts w:hint="eastAsia"/>
          <w:color w:val="000000" w:themeColor="text1"/>
          <w:sz w:val="24"/>
          <w14:textFill>
            <w14:solidFill>
              <w14:schemeClr w14:val="tx1"/>
            </w14:solidFill>
          </w14:textFill>
        </w:rPr>
        <w:t>10%</w:t>
      </w:r>
      <w:r>
        <w:rPr>
          <w:color w:val="000000" w:themeColor="text1"/>
          <w:sz w:val="24"/>
          <w14:textFill>
            <w14:solidFill>
              <w14:schemeClr w14:val="tx1"/>
            </w14:solidFill>
          </w14:textFill>
        </w:rPr>
        <w:t>以上（含</w:t>
      </w:r>
      <w:r>
        <w:rPr>
          <w:rFonts w:hint="eastAsia"/>
          <w:color w:val="000000" w:themeColor="text1"/>
          <w:sz w:val="24"/>
          <w14:textFill>
            <w14:solidFill>
              <w14:schemeClr w14:val="tx1"/>
            </w14:solidFill>
          </w14:textFill>
        </w:rPr>
        <w:t>10%</w: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的基金份额持有人提名新的基金管理人和基金托管人；</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基金管理人和基金托管人的更换分别按上述程序进行；</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公告：新任基金管理人和新任基金托管人应在更换基金管理人和基金托管人的基金份额持有人大会决议</w:t>
      </w:r>
      <w:r>
        <w:rPr>
          <w:rFonts w:hint="eastAsia"/>
          <w:bCs/>
          <w:color w:val="000000" w:themeColor="text1"/>
          <w:sz w:val="24"/>
          <w14:textFill>
            <w14:solidFill>
              <w14:schemeClr w14:val="tx1"/>
            </w14:solidFill>
          </w14:textFill>
        </w:rPr>
        <w:t>生效</w:t>
      </w:r>
      <w:r>
        <w:rPr>
          <w:bCs/>
          <w:color w:val="000000" w:themeColor="text1"/>
          <w:sz w:val="24"/>
          <w14:textFill>
            <w14:solidFill>
              <w14:schemeClr w14:val="tx1"/>
            </w14:solidFill>
          </w14:textFill>
        </w:rPr>
        <w:t>后</w:t>
      </w:r>
      <w:r>
        <w:rPr>
          <w:color w:val="000000" w:themeColor="text1"/>
          <w:sz w:val="24"/>
          <w14:textFill>
            <w14:solidFill>
              <w14:schemeClr w14:val="tx1"/>
            </w14:solidFill>
          </w14:textFill>
        </w:rPr>
        <w:t>2日内</w:t>
      </w:r>
      <w:r>
        <w:rPr>
          <w:bCs/>
          <w:color w:val="000000" w:themeColor="text1"/>
          <w:sz w:val="24"/>
          <w14:textFill>
            <w14:solidFill>
              <w14:schemeClr w14:val="tx1"/>
            </w14:solidFill>
          </w14:textFill>
        </w:rPr>
        <w:t>在规定媒介上联合公告。</w:t>
      </w:r>
    </w:p>
    <w:p>
      <w:pPr>
        <w:spacing w:line="360" w:lineRule="auto"/>
        <w:ind w:firstLine="480" w:firstLineChars="200"/>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三、新任或临时基金管理人接收基金管理业务或新任或临时基金托管人接收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基金合同的规定收取基金管理费或基金托管费。</w:t>
      </w:r>
    </w:p>
    <w:p>
      <w:pPr>
        <w:spacing w:line="360" w:lineRule="auto"/>
        <w:ind w:firstLine="480" w:firstLineChars="200"/>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四</w:t>
      </w:r>
      <w:r>
        <w:rPr>
          <w:rFonts w:ascii="Arial" w:hAnsi="Arial" w:cs="Arial"/>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Pr>
          <w:rFonts w:ascii="Arial" w:hAnsi="Arial" w:cs="Arial"/>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p>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kern w:val="2"/>
          <w14:textFill>
            <w14:solidFill>
              <w14:schemeClr w14:val="tx1"/>
            </w14:solidFill>
          </w14:textFill>
        </w:rPr>
        <w:br w:type="page"/>
      </w:r>
      <w:bookmarkStart w:id="253" w:name="_Toc8791"/>
      <w:bookmarkStart w:id="254" w:name="_Toc98560356"/>
      <w:bookmarkStart w:id="255" w:name="_Toc739"/>
      <w:bookmarkStart w:id="256" w:name="_Toc3329"/>
      <w:bookmarkStart w:id="257" w:name="_Toc29408"/>
      <w:bookmarkStart w:id="258" w:name="_Toc79392622"/>
      <w:bookmarkStart w:id="259" w:name="_Toc5170"/>
      <w:bookmarkStart w:id="260" w:name="_Toc32092"/>
      <w:bookmarkStart w:id="261" w:name="_Toc123051456"/>
      <w:bookmarkStart w:id="262" w:name="_Toc123112238"/>
      <w:bookmarkStart w:id="263" w:name="_Toc17920"/>
      <w:bookmarkStart w:id="264" w:name="_Toc17198"/>
      <w:bookmarkStart w:id="265" w:name="_Toc48649708"/>
      <w:bookmarkStart w:id="266" w:name="_Toc141703890"/>
      <w:bookmarkStart w:id="267" w:name="_Toc32584"/>
      <w:bookmarkStart w:id="268" w:name="_Toc123102457"/>
      <w:bookmarkStart w:id="269" w:name="_Toc139991740"/>
      <w:bookmarkStart w:id="270" w:name="_Toc104716698"/>
      <w:bookmarkStart w:id="271" w:name="_Toc21237"/>
      <w:r>
        <w:rPr>
          <w:rFonts w:ascii="Times New Roman"/>
          <w:color w:val="000000" w:themeColor="text1"/>
          <w:sz w:val="30"/>
          <w14:textFill>
            <w14:solidFill>
              <w14:schemeClr w14:val="tx1"/>
            </w14:solidFill>
          </w14:textFill>
        </w:rPr>
        <w:t>第十</w:t>
      </w:r>
      <w:r>
        <w:rPr>
          <w:rFonts w:hint="eastAsia" w:ascii="Times New Roman"/>
          <w:color w:val="000000" w:themeColor="text1"/>
          <w:sz w:val="30"/>
          <w14:textFill>
            <w14:solidFill>
              <w14:schemeClr w14:val="tx1"/>
            </w14:solidFill>
          </w14:textFill>
        </w:rPr>
        <w:t>二</w:t>
      </w:r>
      <w:r>
        <w:rPr>
          <w:rFonts w:ascii="Times New Roman"/>
          <w:color w:val="000000" w:themeColor="text1"/>
          <w:sz w:val="30"/>
          <w14:textFill>
            <w14:solidFill>
              <w14:schemeClr w14:val="tx1"/>
            </w14:solidFill>
          </w14:textFill>
        </w:rPr>
        <w:t>部分  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autoSpaceDE w:val="0"/>
        <w:autoSpaceDN w:val="0"/>
        <w:spacing w:line="360" w:lineRule="auto"/>
        <w:textAlignment w:val="bottom"/>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基金托管人和基金管理人按照《基金法》、《基金合同》及其他有关规定订立托管协议。</w:t>
      </w:r>
    </w:p>
    <w:p>
      <w:pPr>
        <w:autoSpaceDE w:val="0"/>
        <w:autoSpaceDN w:val="0"/>
        <w:spacing w:line="360" w:lineRule="auto"/>
        <w:ind w:firstLine="480" w:firstLineChars="200"/>
        <w:textAlignment w:val="bottom"/>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14:textFill>
            <w14:solidFill>
              <w14:schemeClr w14:val="tx1"/>
            </w14:solidFill>
          </w14:textFill>
        </w:rPr>
        <w:br w:type="page"/>
      </w:r>
      <w:bookmarkStart w:id="272" w:name="_Toc48649710"/>
      <w:bookmarkStart w:id="273" w:name="_Toc3244"/>
      <w:bookmarkStart w:id="274" w:name="_Toc26152"/>
      <w:bookmarkStart w:id="275" w:name="_Toc16789"/>
      <w:bookmarkStart w:id="276" w:name="_Toc2255"/>
      <w:bookmarkStart w:id="277" w:name="_Toc123051457"/>
      <w:bookmarkStart w:id="278" w:name="_Toc141703891"/>
      <w:bookmarkStart w:id="279" w:name="_Toc19520"/>
      <w:bookmarkStart w:id="280" w:name="_Toc21886"/>
      <w:bookmarkStart w:id="281" w:name="_Toc26084"/>
      <w:bookmarkStart w:id="282" w:name="_Toc98560357"/>
      <w:bookmarkStart w:id="283" w:name="_Toc14725"/>
      <w:bookmarkStart w:id="284" w:name="_Toc26383"/>
      <w:bookmarkStart w:id="285" w:name="_Toc123102458"/>
      <w:bookmarkStart w:id="286" w:name="_Toc79392624"/>
      <w:bookmarkStart w:id="287" w:name="_Toc22674"/>
      <w:bookmarkStart w:id="288" w:name="_Toc123112239"/>
      <w:bookmarkStart w:id="289" w:name="_Toc104716699"/>
      <w:bookmarkStart w:id="290" w:name="_Toc139991741"/>
      <w:r>
        <w:rPr>
          <w:rFonts w:ascii="Times New Roman"/>
          <w:color w:val="000000" w:themeColor="text1"/>
          <w:sz w:val="30"/>
          <w14:textFill>
            <w14:solidFill>
              <w14:schemeClr w14:val="tx1"/>
            </w14:solidFill>
          </w14:textFill>
        </w:rPr>
        <w:t>第十</w:t>
      </w:r>
      <w:r>
        <w:rPr>
          <w:rFonts w:hint="eastAsia" w:ascii="Times New Roman"/>
          <w:color w:val="000000" w:themeColor="text1"/>
          <w:sz w:val="30"/>
          <w14:textFill>
            <w14:solidFill>
              <w14:schemeClr w14:val="tx1"/>
            </w14:solidFill>
          </w14:textFill>
        </w:rPr>
        <w:t>三</w:t>
      </w:r>
      <w:r>
        <w:rPr>
          <w:rFonts w:ascii="Times New Roman"/>
          <w:color w:val="000000" w:themeColor="text1"/>
          <w:sz w:val="30"/>
          <w14:textFill>
            <w14:solidFill>
              <w14:schemeClr w14:val="tx1"/>
            </w14:solidFill>
          </w14:textFill>
        </w:rPr>
        <w:t>部分  基金份额的登记</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autoSpaceDE w:val="0"/>
        <w:autoSpaceDN w:val="0"/>
        <w:spacing w:line="360" w:lineRule="auto"/>
        <w:textAlignment w:val="bottom"/>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一、基金份额的登记业务</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本基金的登记结算业务指根据《</w:t>
      </w:r>
      <w:r>
        <w:rPr>
          <w:rFonts w:hint="eastAsia"/>
          <w:bCs/>
          <w:color w:val="000000" w:themeColor="text1"/>
          <w:sz w:val="24"/>
          <w14:textFill>
            <w14:solidFill>
              <w14:schemeClr w14:val="tx1"/>
            </w14:solidFill>
          </w14:textFill>
        </w:rPr>
        <w:t>中国证券登记结算有限责任公司关于交易所交易型开放式证券投资基金登记结算业务实施细则</w:t>
      </w:r>
      <w:r>
        <w:rPr>
          <w:bCs/>
          <w:color w:val="000000" w:themeColor="text1"/>
          <w:sz w:val="24"/>
          <w14:textFill>
            <w14:solidFill>
              <w14:schemeClr w14:val="tx1"/>
            </w14:solidFill>
          </w14:textFill>
        </w:rPr>
        <w:t>》以及相关业务规则定义的基金份额的登记、存管和结算业务。</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二、基金登记业务办理机构</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基金的登记结算业务由基金管理人或基金管理人委托的其他符合条件的机构负责办理。基金管理人委托其他机构代为办理本基金登记结算业务的，应与有关机构签订委托代理协议，以明确基金管理人和代理机构在登记结算业务中的权利义务，保护基金份额持有人的合法权益</w:t>
      </w:r>
      <w:r>
        <w:rPr>
          <w:rFonts w:hint="eastAsia"/>
          <w:bCs/>
          <w:color w:val="000000" w:themeColor="text1"/>
          <w:sz w:val="24"/>
          <w14:textFill>
            <w14:solidFill>
              <w14:schemeClr w14:val="tx1"/>
            </w14:solidFill>
          </w14:textFill>
        </w:rPr>
        <w:t>。本基金的登记业务由中国证券登记结算有限责任公司负责办理。</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三、基金登记机构的权利</w:t>
      </w:r>
      <w:bookmarkStart w:id="291" w:name="_Hlt88820748"/>
      <w:bookmarkEnd w:id="291"/>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基金登记机构享有以下权利：</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1、取得登记费；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2、建立和管理投资者</w:t>
      </w:r>
      <w:r>
        <w:rPr>
          <w:rFonts w:hint="eastAsia"/>
          <w:bCs/>
          <w:color w:val="000000" w:themeColor="text1"/>
          <w:sz w:val="24"/>
          <w14:textFill>
            <w14:solidFill>
              <w14:schemeClr w14:val="tx1"/>
            </w14:solidFill>
          </w14:textFill>
        </w:rPr>
        <w:t>相关</w:t>
      </w:r>
      <w:r>
        <w:rPr>
          <w:bCs/>
          <w:color w:val="000000" w:themeColor="text1"/>
          <w:sz w:val="24"/>
          <w14:textFill>
            <w14:solidFill>
              <w14:schemeClr w14:val="tx1"/>
            </w14:solidFill>
          </w14:textFill>
        </w:rPr>
        <w:t>账户；</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3、保管基金份额持有人开户资料、交易资料、基金份额持有人名册等；</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4、在法律法规允许的范围内，对登记业务的办理时间</w:t>
      </w:r>
      <w:r>
        <w:rPr>
          <w:rFonts w:hint="eastAsia"/>
          <w:bCs/>
          <w:color w:val="000000" w:themeColor="text1"/>
          <w:sz w:val="24"/>
          <w14:textFill>
            <w14:solidFill>
              <w14:schemeClr w14:val="tx1"/>
            </w14:solidFill>
          </w14:textFill>
        </w:rPr>
        <w:t>和相关业务规则</w:t>
      </w:r>
      <w:r>
        <w:rPr>
          <w:bCs/>
          <w:color w:val="000000" w:themeColor="text1"/>
          <w:sz w:val="24"/>
          <w14:textFill>
            <w14:solidFill>
              <w14:schemeClr w14:val="tx1"/>
            </w14:solidFill>
          </w14:textFill>
        </w:rPr>
        <w:t>进行调整，并依照有关规定于开始实施前在规定媒介上公告；</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r>
        <w:rPr>
          <w:rFonts w:hint="eastAsia"/>
          <w:bCs/>
          <w:color w:val="000000" w:themeColor="text1"/>
          <w:sz w:val="24"/>
          <w14:textFill>
            <w14:solidFill>
              <w14:schemeClr w14:val="tx1"/>
            </w14:solidFill>
          </w14:textFill>
        </w:rPr>
        <w:t>法律法规及中国证监会规定的和《基金合同》约定的其他</w:t>
      </w:r>
      <w:r>
        <w:rPr>
          <w:bCs/>
          <w:color w:val="000000" w:themeColor="text1"/>
          <w:sz w:val="24"/>
          <w14:textFill>
            <w14:solidFill>
              <w14:schemeClr w14:val="tx1"/>
            </w14:solidFill>
          </w14:textFill>
        </w:rPr>
        <w:t>权利。</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四、基金登记机构的义务</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基金登记机构承担以下义务：</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1、配备足够的专业人员办理本基金份额的登记业务；</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2、严格按照法律法规和《基金合同》规定的条件办理本基金份额的登记业务；</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r>
        <w:rPr>
          <w:color w:val="000000" w:themeColor="text1"/>
          <w:sz w:val="24"/>
          <w14:textFill>
            <w14:solidFill>
              <w14:schemeClr w14:val="tx1"/>
            </w14:solidFill>
          </w14:textFill>
        </w:rPr>
        <w:t>妥善保存登记数据，并将基金份额持有人名称、身份信息及基金份额明细等数据备份至中国证监会认定的机构。其保存期限自</w:t>
      </w:r>
      <w:r>
        <w:rPr>
          <w:rFonts w:hint="eastAsia"/>
          <w:color w:val="000000" w:themeColor="text1"/>
          <w:sz w:val="24"/>
          <w14:textFill>
            <w14:solidFill>
              <w14:schemeClr w14:val="tx1"/>
            </w14:solidFill>
          </w14:textFill>
        </w:rPr>
        <w:t>相关</w:t>
      </w:r>
      <w:r>
        <w:rPr>
          <w:color w:val="000000" w:themeColor="text1"/>
          <w:sz w:val="24"/>
          <w14:textFill>
            <w14:solidFill>
              <w14:schemeClr w14:val="tx1"/>
            </w14:solidFill>
          </w14:textFill>
        </w:rPr>
        <w:t>账户销户之日起不得少于20年；</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4、对基金份额持有人的</w:t>
      </w:r>
      <w:r>
        <w:rPr>
          <w:rFonts w:hint="eastAsia"/>
          <w:bCs/>
          <w:color w:val="000000" w:themeColor="text1"/>
          <w:sz w:val="24"/>
          <w14:textFill>
            <w14:solidFill>
              <w14:schemeClr w14:val="tx1"/>
            </w14:solidFill>
          </w14:textFill>
        </w:rPr>
        <w:t>相关</w:t>
      </w:r>
      <w:r>
        <w:rPr>
          <w:bCs/>
          <w:color w:val="000000" w:themeColor="text1"/>
          <w:sz w:val="24"/>
          <w14:textFill>
            <w14:solidFill>
              <w14:schemeClr w14:val="tx1"/>
            </w14:solidFill>
          </w14:textFill>
        </w:rPr>
        <w:t>账户信息负有保密义务，因违反该保密义务对投资者或基金带来的损失，须承担相应的赔偿责任，但司法强制检查情形及</w:t>
      </w:r>
      <w:r>
        <w:rPr>
          <w:rFonts w:hint="eastAsia"/>
          <w:bCs/>
          <w:color w:val="000000" w:themeColor="text1"/>
          <w:sz w:val="24"/>
          <w14:textFill>
            <w14:solidFill>
              <w14:schemeClr w14:val="tx1"/>
            </w14:solidFill>
          </w14:textFill>
        </w:rPr>
        <w:t>法律法规及中国证监会规定的和《基金合同》约定的其他</w:t>
      </w:r>
      <w:r>
        <w:rPr>
          <w:bCs/>
          <w:color w:val="000000" w:themeColor="text1"/>
          <w:sz w:val="24"/>
          <w14:textFill>
            <w14:solidFill>
              <w14:schemeClr w14:val="tx1"/>
            </w14:solidFill>
          </w14:textFill>
        </w:rPr>
        <w:t>情形除外；</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5、按《基金合同》及招募说明书规定为投资者办理非交易过户业务、提供其他必要的服务；</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6、接受基金管理人的监督；</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 、如因登记机构的原因而造成基金管理人或者基金份额持有人损失的，依法承担相应的赔偿责任；</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w:t>
      </w:r>
      <w:r>
        <w:rPr>
          <w:rFonts w:hint="eastAsia"/>
          <w:bCs/>
          <w:color w:val="000000" w:themeColor="text1"/>
          <w:sz w:val="24"/>
          <w14:textFill>
            <w14:solidFill>
              <w14:schemeClr w14:val="tx1"/>
            </w14:solidFill>
          </w14:textFill>
        </w:rPr>
        <w:t>法律法规及中国证监会规定的和《基金合同》约定的其他</w:t>
      </w:r>
      <w:r>
        <w:rPr>
          <w:bCs/>
          <w:color w:val="000000" w:themeColor="text1"/>
          <w:sz w:val="24"/>
          <w14:textFill>
            <w14:solidFill>
              <w14:schemeClr w14:val="tx1"/>
            </w14:solidFill>
          </w14:textFill>
        </w:rPr>
        <w:t>义务。</w:t>
      </w:r>
    </w:p>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14:textFill>
            <w14:solidFill>
              <w14:schemeClr w14:val="tx1"/>
            </w14:solidFill>
          </w14:textFill>
        </w:rPr>
        <w:br w:type="page"/>
      </w:r>
      <w:bookmarkStart w:id="292" w:name="_Toc11351"/>
      <w:bookmarkStart w:id="293" w:name="_Toc22538"/>
      <w:bookmarkStart w:id="294" w:name="_Toc578"/>
      <w:bookmarkStart w:id="295" w:name="_Toc16437"/>
      <w:bookmarkStart w:id="296" w:name="_Toc21917"/>
      <w:bookmarkStart w:id="297" w:name="_Toc3872"/>
      <w:bookmarkStart w:id="298" w:name="_Toc2981"/>
      <w:bookmarkStart w:id="299" w:name="_Toc104716700"/>
      <w:bookmarkStart w:id="300" w:name="_Toc11395"/>
      <w:bookmarkStart w:id="301" w:name="_Toc5477"/>
      <w:bookmarkStart w:id="302" w:name="_Toc801"/>
      <w:r>
        <w:rPr>
          <w:rFonts w:ascii="Times New Roman"/>
          <w:color w:val="000000" w:themeColor="text1"/>
          <w:sz w:val="30"/>
          <w14:textFill>
            <w14:solidFill>
              <w14:schemeClr w14:val="tx1"/>
            </w14:solidFill>
          </w14:textFill>
        </w:rPr>
        <w:t>第十</w:t>
      </w:r>
      <w:r>
        <w:rPr>
          <w:rFonts w:hint="eastAsia" w:ascii="Times New Roman"/>
          <w:color w:val="000000" w:themeColor="text1"/>
          <w:sz w:val="30"/>
          <w14:textFill>
            <w14:solidFill>
              <w14:schemeClr w14:val="tx1"/>
            </w14:solidFill>
          </w14:textFill>
        </w:rPr>
        <w:t>四</w:t>
      </w:r>
      <w:r>
        <w:rPr>
          <w:rFonts w:ascii="Times New Roman"/>
          <w:color w:val="000000" w:themeColor="text1"/>
          <w:sz w:val="30"/>
          <w14:textFill>
            <w14:solidFill>
              <w14:schemeClr w14:val="tx1"/>
            </w14:solidFill>
          </w14:textFill>
        </w:rPr>
        <w:t>部分  基金的投资</w:t>
      </w:r>
      <w:bookmarkEnd w:id="292"/>
      <w:bookmarkEnd w:id="293"/>
      <w:bookmarkEnd w:id="294"/>
      <w:bookmarkEnd w:id="295"/>
      <w:bookmarkEnd w:id="296"/>
      <w:bookmarkEnd w:id="297"/>
      <w:bookmarkEnd w:id="298"/>
      <w:bookmarkEnd w:id="299"/>
      <w:bookmarkEnd w:id="300"/>
      <w:bookmarkEnd w:id="301"/>
      <w:bookmarkEnd w:id="302"/>
    </w:p>
    <w:p>
      <w:pPr>
        <w:spacing w:line="360" w:lineRule="auto"/>
        <w:ind w:firstLine="480" w:firstLineChars="200"/>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一、投资目标</w:t>
      </w:r>
    </w:p>
    <w:p>
      <w:pPr>
        <w:spacing w:line="360" w:lineRule="auto"/>
        <w:ind w:firstLine="480" w:firstLineChars="200"/>
        <w:rPr>
          <w:bCs/>
          <w:color w:val="000000" w:themeColor="text1"/>
          <w:sz w:val="24"/>
          <w14:textFill>
            <w14:solidFill>
              <w14:schemeClr w14:val="tx1"/>
            </w14:solidFill>
          </w14:textFill>
        </w:rPr>
      </w:pPr>
      <w:bookmarkStart w:id="303" w:name="OLE_LINK12"/>
      <w:r>
        <w:rPr>
          <w:rFonts w:hint="eastAsia"/>
          <w:bCs/>
          <w:color w:val="000000" w:themeColor="text1"/>
          <w:sz w:val="24"/>
          <w14:textFill>
            <w14:solidFill>
              <w14:schemeClr w14:val="tx1"/>
            </w14:solidFill>
          </w14:textFill>
        </w:rPr>
        <w:t>紧密跟踪标的指数，追求跟踪偏离度和跟踪误差的最小化。力争本基金的净值增长率与业绩比较基准之间的日均偏离度的绝对值不超过0</w:t>
      </w: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年化跟踪误差不超过2</w:t>
      </w:r>
      <w:r>
        <w:rPr>
          <w:rFonts w:hint="eastAsia"/>
          <w:bCs/>
          <w:color w:val="000000" w:themeColor="text1"/>
          <w:sz w:val="24"/>
          <w14:textFill>
            <w14:solidFill>
              <w14:schemeClr w14:val="tx1"/>
            </w14:solidFill>
          </w14:textFill>
        </w:rPr>
        <w:t>%</w:t>
      </w:r>
      <w:bookmarkEnd w:id="303"/>
      <w:r>
        <w:rPr>
          <w:rFonts w:hint="eastAsia"/>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二、投资范围</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主要投资于标的指数成份债券和备选成份债券。为更好地实现基金的投资目标，本基金可以投资国内依法发行、上市的债券（包括国债、央行票据、地方政府债、金融债券、企业债券、公司债券、短期融资券、超短期融资券、中期票据、公开发行的次级债券、政府支持机构债、政府支持债券、可分离交易可转债的纯债部分）、资产支持证券、银行存款（包括协议存款、定期存款及其他银行存款）、同业存单、债券回购、国债期货、信用衍生品、货币市场工具以及法律法规或中国证监会允许基金投资的其他金融工具，但需符合中国证监会的相关规定。</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如法律法规或监管机构以后允许基金投资其他品种，基金管理人在履行适当程序后，可以将其纳入投资范围。</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在建仓完成后</w:t>
      </w:r>
      <w:r>
        <w:rPr>
          <w:rFonts w:hint="eastAsia"/>
          <w:bCs/>
          <w:color w:val="000000" w:themeColor="text1"/>
          <w:sz w:val="24"/>
          <w14:textFill>
            <w14:solidFill>
              <w14:schemeClr w14:val="tx1"/>
            </w14:solidFill>
          </w14:textFill>
        </w:rPr>
        <w:t>，</w:t>
      </w:r>
      <w:bookmarkStart w:id="304" w:name="OLE_LINK13"/>
      <w:r>
        <w:rPr>
          <w:rFonts w:hint="eastAsia"/>
          <w:bCs/>
          <w:color w:val="000000" w:themeColor="text1"/>
          <w:sz w:val="24"/>
          <w14:textFill>
            <w14:solidFill>
              <w14:schemeClr w14:val="tx1"/>
            </w14:solidFill>
          </w14:textFill>
        </w:rPr>
        <w:t>本基金投资于债券资产比例不低于基金资产的80%</w:t>
      </w:r>
      <w:bookmarkEnd w:id="304"/>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本基金投资于标的指数成份债券和备选成份债券的资产比例不低于</w:t>
      </w:r>
      <w:r>
        <w:rPr>
          <w:rFonts w:hint="eastAsia"/>
          <w:bCs/>
          <w:color w:val="000000" w:themeColor="text1"/>
          <w:sz w:val="24"/>
          <w14:textFill>
            <w14:solidFill>
              <w14:schemeClr w14:val="tx1"/>
            </w14:solidFill>
          </w14:textFill>
        </w:rPr>
        <w:t>基金资产净值的</w:t>
      </w:r>
      <w:r>
        <w:rPr>
          <w:bCs/>
          <w:color w:val="000000" w:themeColor="text1"/>
          <w:sz w:val="24"/>
          <w14:textFill>
            <w14:solidFill>
              <w14:schemeClr w14:val="tx1"/>
            </w14:solidFill>
          </w14:textFill>
        </w:rPr>
        <w:t>90</w:t>
      </w:r>
      <w:r>
        <w:rPr>
          <w:rFonts w:hint="eastAsia"/>
          <w:bCs/>
          <w:color w:val="000000" w:themeColor="text1"/>
          <w:sz w:val="24"/>
          <w14:textFill>
            <w14:solidFill>
              <w14:schemeClr w14:val="tx1"/>
            </w14:solidFill>
          </w14:textFill>
        </w:rPr>
        <w:t>%，且不低于非现金基金资产的80%。本基金每个交易日日终在扣除国债期货合约需缴纳的交易保证金后，应当保持不低于交易保证金一倍的现金。其中，现金不包括结算备付金、存出保证金、应收申购款。</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如果法律法规对该比例要求有变更的，基金管理人在履行适当程序后，本基金做相应调整。</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三、标的指数</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本基金的标的指数为中证AAA科技创新公司债指数。</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四</w:t>
      </w:r>
      <w:r>
        <w:rPr>
          <w:bCs/>
          <w:color w:val="000000" w:themeColor="text1"/>
          <w:sz w:val="24"/>
          <w14:textFill>
            <w14:solidFill>
              <w14:schemeClr w14:val="tx1"/>
            </w14:solidFill>
          </w14:textFill>
        </w:rPr>
        <w:t>、投资策略</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本基金为指数基金</w:t>
      </w:r>
      <w:r>
        <w:rPr>
          <w:rFonts w:hint="eastAsia"/>
          <w:bCs/>
          <w:color w:val="000000" w:themeColor="text1"/>
          <w:sz w:val="24"/>
          <w14:textFill>
            <w14:solidFill>
              <w14:schemeClr w14:val="tx1"/>
            </w14:solidFill>
          </w14:textFill>
        </w:rPr>
        <w:t>，主要</w:t>
      </w:r>
      <w:r>
        <w:rPr>
          <w:bCs/>
          <w:color w:val="000000" w:themeColor="text1"/>
          <w:sz w:val="24"/>
          <w14:textFill>
            <w14:solidFill>
              <w14:schemeClr w14:val="tx1"/>
            </w14:solidFill>
          </w14:textFill>
        </w:rPr>
        <w:t>采用代表性分层抽样复制</w:t>
      </w:r>
      <w:r>
        <w:rPr>
          <w:rFonts w:hint="eastAsia"/>
          <w:bCs/>
          <w:color w:val="000000" w:themeColor="text1"/>
          <w:sz w:val="24"/>
          <w14:textFill>
            <w14:solidFill>
              <w14:schemeClr w14:val="tx1"/>
            </w14:solidFill>
          </w14:textFill>
        </w:rPr>
        <w:t>策略，</w:t>
      </w:r>
      <w:r>
        <w:rPr>
          <w:bCs/>
          <w:color w:val="000000" w:themeColor="text1"/>
          <w:sz w:val="24"/>
          <w14:textFill>
            <w14:solidFill>
              <w14:schemeClr w14:val="tx1"/>
            </w14:solidFill>
          </w14:textFill>
        </w:rPr>
        <w:t>投资于标的指数中具有代表性的部分成份券</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或选择非成份券作为替代</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使得债券投资组合的总体特征</w:t>
      </w:r>
      <w:r>
        <w:rPr>
          <w:rFonts w:hint="eastAsia"/>
          <w:bCs/>
          <w:color w:val="000000" w:themeColor="text1"/>
          <w:sz w:val="24"/>
          <w14:textFill>
            <w14:solidFill>
              <w14:schemeClr w14:val="tx1"/>
            </w14:solidFill>
          </w14:textFill>
        </w:rPr>
        <w:t>（如久期、剩余期限分布和到期收益率等）与标的指数相似。</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（一）分层抽样策略</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分层抽样复制法指的是采用一定的抽样方法从构成指数的成份债券中抽取若干成份债券构成用于复制指数跟踪组合的方法</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采取该方法可以在控制跟踪误差的基础上</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进一步减少组合维护及再平衡所需的费用</w:t>
      </w:r>
      <w:r>
        <w:rPr>
          <w:rFonts w:hint="eastAsia"/>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将首先通过对标的指数中各成份债券的信用评级、历史流动性及收益率等进行分析，初步选择流动性较好的成份券作为备选，其次将通过对标的指数按照久期、剩余期限、信用等级、到期收益率以及债券发行主体等进行分层抽样，以使构建组合与标的指数在以上特征上尽可能相似，达到复制标的指数、降低交易成本的目的。</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由于采用抽样复制，本基金组合中的个券只数、权重与标的指数可能存在差异。此外本基金在控制跟踪误差的前提下，可通过风险可控的积极管理获得超额收益，以弥补基金费用等管理成本，控制与标的指数的偏离度。</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（二）替代性策略</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若成份券遇到包括但不限于债券还本派息、退市、流动性不足、债券到期等法规限制或组合优化需要等情况，基金管理人可以部分持有现金或在成份券及备选成份券外寻找其他债券构建替代组合，对指数进行跟踪复制。</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替代组合的构建将以债券流动性为约束条件，按照与被替代债券久期相近、信用评级相似、到期收益率及剩余期限基本匹配为主要原则，控制替代组合与被替代债券的跟踪偏离度和跟踪误差最小化。</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当指数成份券发生明显负面事件面临退市或违约风险，且指数编制机构暂未作出调整的，基金管理人应当按照持有人利益优先的原则，履行内部决策程序后及时对相关成份券进行调整。</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（三）债券投资策略</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对于非成份券的债券，本基金综合运用久期调整、收益率曲线策略、类属配置等组合管理手段及信用债投资策略进行日常管理。</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1、久期管理策略是根据对宏观经济环境、利率水平预期等因素，确定组合的整体久期，有效控制基金资产风险。</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、收益率曲线策略是指在确定组合久期以后，根据收益率曲线的形态特征进行利率期限结构管理，确定组合期限结构的分布方式，合理配置不同期限品种的配置比例。</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类属配置包括现金、不同类型固定收益品种之间的配置。在确定组合久期和期限结构分布的基础上，根据各品种的流动性、收益性以及信用风险等确定各子类资产的配置权重，即确定债券、存款、回购以及现金等资产的比例。</w:t>
      </w:r>
    </w:p>
    <w:p>
      <w:pPr>
        <w:spacing w:line="396"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（四）资产支持证券投资策略</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将分析资产支持证券的资产特征，估计违约率和提前偿付比率，并利用收益率曲线和期权定价模型，对资产支持证券进行估值。本基金将通过对资产支持证券基础资产及结构设计的研究，结合多种定价模型，严格控制资产支持证券的总体投资规模并进行分散投资，以降低流动性风险。</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（五）衍生品投资策略</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本基金将根据风险管理的原则，以套期保值为目的，充分考虑国债期货的流动性和风险收益特征，在风险可控的前提下，适度参与国债期货投资。</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为了更好地管理债券投资的信用风险，本基金根据风险管理的原则，以风险对冲为目的，可适当参与信用衍生品的投资。本基金将在详细评估信用债风险状况的前提下，对比权衡个券风险收益与信用衍生品价格，构建信用风险对冲组合。在持有信用衍生品的期间，本基金会紧密跟踪信用利差与信用衍生品价格的动态变化，灵活调整对冲比例，追求经信用风险对冲后的投资回报最大化。</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未来，如法律法规或监管机构允许基金投资于其他与利率、标的指数、标的指数成份券或构成基金组合的非成份券相关的衍生工具，如远期、掉期、期权等，以及其他投资品种的，基金管理人在履行适当程序后，可以将其纳入本基金的投资范围，并更新和丰富基金投资策略。基金衍生品投资的目的是使基金的投资组合更紧密地跟踪标的指数或复制标的指数的相关重要特征，以便更好地实现基金的投资目标。基金的衍生品投资只能用于风险对冲而不能用于投机。</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五</w:t>
      </w:r>
      <w:r>
        <w:rPr>
          <w:bCs/>
          <w:color w:val="000000" w:themeColor="text1"/>
          <w:sz w:val="24"/>
          <w14:textFill>
            <w14:solidFill>
              <w14:schemeClr w14:val="tx1"/>
            </w14:solidFill>
          </w14:textFill>
        </w:rPr>
        <w:t>、投资限制</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1、组合限制</w:t>
      </w:r>
    </w:p>
    <w:p>
      <w:pPr>
        <w:spacing w:line="360" w:lineRule="auto"/>
        <w:ind w:firstLine="480" w:firstLineChars="200"/>
        <w:rPr>
          <w:color w:val="000000" w:themeColor="text1"/>
          <w:szCs w:val="21"/>
          <w14:textFill>
            <w14:solidFill>
              <w14:schemeClr w14:val="tx1"/>
            </w14:solidFill>
          </w14:textFill>
        </w:rPr>
      </w:pPr>
      <w:r>
        <w:rPr>
          <w:bCs/>
          <w:color w:val="000000" w:themeColor="text1"/>
          <w:sz w:val="24"/>
          <w14:textFill>
            <w14:solidFill>
              <w14:schemeClr w14:val="tx1"/>
            </w14:solidFill>
          </w14:textFill>
        </w:rPr>
        <w:t>基金的投资组合应遵循以下限制：</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（1）本基金投资于债券资产比例不低于基金资产的80%；本基金投资于标的指数成份债券和备选成份债券的资产比例不低于基金资产净值的</w:t>
      </w:r>
      <w:r>
        <w:rPr>
          <w:bCs/>
          <w:color w:val="000000" w:themeColor="text1"/>
          <w:sz w:val="24"/>
          <w14:textFill>
            <w14:solidFill>
              <w14:schemeClr w14:val="tx1"/>
            </w14:solidFill>
          </w14:textFill>
        </w:rPr>
        <w:t>90</w:t>
      </w:r>
      <w:r>
        <w:rPr>
          <w:rFonts w:hint="eastAsia"/>
          <w:bCs/>
          <w:color w:val="000000" w:themeColor="text1"/>
          <w:sz w:val="24"/>
          <w14:textFill>
            <w14:solidFill>
              <w14:schemeClr w14:val="tx1"/>
            </w14:solidFill>
          </w14:textFill>
        </w:rPr>
        <w:t>%，且不低于非现金基金资产的80％；</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（2）本基金每个交易日日终在扣除国债期货合约需缴纳的交易保证金后，应当保持不低于交易保证金一倍的现金。其中，现金不包括结算备付金、存出保证金、应收申购款；</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（3）本基金持有一家公司发行的证券，其市值不超过基金资产净值的10％；完全按照有关指数的构成比例进行证券投资的，不受前述限制；</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（4）本基金管理人管理的全部基金持有一家公司发行的证券，不超过该证券的10％；完全按照有关指数的构成比例进行证券投资的，不受前述限制； </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（5）本基金投资于同一原始权益人的各类资产支持证券的比例，不得超过基金资产净值的10％；</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（6）本基金持有的全部资产支持证券，其市值不得超过基金资产净值的20％；</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（7）本基金持有的同一（指同一信用级别）资产支持证券的比例，不得超过该资产支持证券规模的10％；</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（8）本基金管理人管理的全部基金投资于同一原始权益人的各类资产支持证券，不得超过其各类资产支持证券合计规模的10％；</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（9）本基金应投资于信用级别评级为 BBB 以上(含 BBB)的资产支持证券。基金持有资产支持证券期间，如果其信用等级下降、不再符合投资标准，应在评级报告发布之日起 3 个月内予以全部卖出；</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（10）本基金资产总值不超过基金资产净值的140%；</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（11）本基金参与国债期货交易时，应当符合下列投资限制：</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1）本基金在任何交易日日终，持有的买入国债期货合约价值，不得超过基金资产净值的15%；</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2）本基金在任何交易日日终，持有的卖出国债期货合约价值不得超过基金持有的债券总市值的30%； </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3）本基金所持有的债券（不含到期日在一年以内的政府债券）市值和买入、卖出国债期货合约价值，合计（轧差计算）应当符合基金合同关于债券投资比例的有关约定； </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4）本基金在任何交易日内交易（不包括平仓）的国债期货合约的成交金额不得超过上一交易日基金资产净值的 30%。</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本基金主动投资于流动性受限资产的市值合计不得超过本基金资产净值的15%。因证券市场波动、证券停牌、基金规模变动等基金管理人之外的因素致使本基金不符合该比例限制的，基金管理人不得主动新增流动性受限资产的投资；</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（13）本基金与私募类证券资管产品及中国证监会认定的其他主体为交易对手开展逆回购交易的，可接受质押品的资质要求应当与本基金合同约定的投资范围保持一致；</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4</w:t>
      </w:r>
      <w:r>
        <w:rPr>
          <w:rFonts w:hint="eastAsia"/>
          <w:bCs/>
          <w:color w:val="000000" w:themeColor="text1"/>
          <w:sz w:val="24"/>
          <w14:textFill>
            <w14:solidFill>
              <w14:schemeClr w14:val="tx1"/>
            </w14:solidFill>
          </w14:textFill>
        </w:rPr>
        <w:t>）本基金不持有具有信用保护卖方属性的信用衍生品，不持有合约类信用衍生品；本基金投资的信用衍生品名义本金不得超过本基金中对应受保护债券面值的100%；投资于同一信用保护卖方的各类信用衍生品名义本金合计不得超过基金资产净值的10%；因证券/期货市场波动、证券发行人合并、基金规模变动等基金管理人之外的因素致使基金投资比例不符合上述规定投资比例的，基金管理人应当在3个月内进行调整；</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5</w:t>
      </w:r>
      <w:r>
        <w:rPr>
          <w:rFonts w:hint="eastAsia"/>
          <w:bCs/>
          <w:color w:val="000000" w:themeColor="text1"/>
          <w:sz w:val="24"/>
          <w14:textFill>
            <w14:solidFill>
              <w14:schemeClr w14:val="tx1"/>
            </w14:solidFill>
          </w14:textFill>
        </w:rPr>
        <w:t>）法律法规及中国证监会规定的和《基金合同》约定的其他投资限制。</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除上述第（2）、（9）、（12）、（13）、（1</w:t>
      </w:r>
      <w:r>
        <w:rPr>
          <w:bCs/>
          <w:color w:val="000000" w:themeColor="text1"/>
          <w:sz w:val="24"/>
          <w14:textFill>
            <w14:solidFill>
              <w14:schemeClr w14:val="tx1"/>
            </w14:solidFill>
          </w14:textFill>
        </w:rPr>
        <w:t>4</w:t>
      </w:r>
      <w:r>
        <w:rPr>
          <w:rFonts w:hint="eastAsia"/>
          <w:bCs/>
          <w:color w:val="000000" w:themeColor="text1"/>
          <w:sz w:val="24"/>
          <w14:textFill>
            <w14:solidFill>
              <w14:schemeClr w14:val="tx1"/>
            </w14:solidFill>
          </w14:textFill>
        </w:rPr>
        <w:t>）项情形之外，因证券、期货市场波动、证券发行人合并、基金规模变动、标的指数成份债券调整、标的指数成份债券流动性限制等基金管理人之外的因素致使基金投资比例不符合上述规定投资比例的，基金管理人应当在10个交易日内进行调整，但中国证监会规定的特殊情形除外。</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基金管理人应当自基金合同生效之日起</w:t>
      </w:r>
      <w:r>
        <w:rPr>
          <w:rFonts w:hint="eastAsia"/>
          <w:bCs/>
          <w:color w:val="000000" w:themeColor="text1"/>
          <w:sz w:val="24"/>
          <w14:textFill>
            <w14:solidFill>
              <w14:schemeClr w14:val="tx1"/>
            </w14:solidFill>
          </w14:textFill>
        </w:rPr>
        <w:t>6</w:t>
      </w:r>
      <w:r>
        <w:rPr>
          <w:bCs/>
          <w:color w:val="000000" w:themeColor="text1"/>
          <w:sz w:val="24"/>
          <w14:textFill>
            <w14:solidFill>
              <w14:schemeClr w14:val="tx1"/>
            </w14:solidFill>
          </w14:textFill>
        </w:rPr>
        <w:t>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法律法规或监管部门取消</w:t>
      </w:r>
      <w:r>
        <w:rPr>
          <w:rFonts w:hint="eastAsia"/>
          <w:bCs/>
          <w:color w:val="000000" w:themeColor="text1"/>
          <w:sz w:val="24"/>
          <w14:textFill>
            <w14:solidFill>
              <w14:schemeClr w14:val="tx1"/>
            </w14:solidFill>
          </w14:textFill>
        </w:rPr>
        <w:t>或调整</w:t>
      </w:r>
      <w:r>
        <w:rPr>
          <w:bCs/>
          <w:color w:val="000000" w:themeColor="text1"/>
          <w:sz w:val="24"/>
          <w14:textFill>
            <w14:solidFill>
              <w14:schemeClr w14:val="tx1"/>
            </w14:solidFill>
          </w14:textFill>
        </w:rPr>
        <w:t>上述限制，如适用于本基金，基金管理人</w:t>
      </w:r>
      <w:r>
        <w:rPr>
          <w:rFonts w:hint="eastAsia"/>
          <w:bCs/>
          <w:color w:val="000000" w:themeColor="text1"/>
          <w:sz w:val="24"/>
          <w14:textFill>
            <w14:solidFill>
              <w14:schemeClr w14:val="tx1"/>
            </w14:solidFill>
          </w14:textFill>
        </w:rPr>
        <w:t>在</w:t>
      </w:r>
      <w:r>
        <w:rPr>
          <w:bCs/>
          <w:color w:val="000000" w:themeColor="text1"/>
          <w:sz w:val="24"/>
          <w14:textFill>
            <w14:solidFill>
              <w14:schemeClr w14:val="tx1"/>
            </w14:solidFill>
          </w14:textFill>
        </w:rPr>
        <w:t>履行适当程序后，则本基金投资不再受相关限制</w:t>
      </w:r>
      <w:r>
        <w:rPr>
          <w:rFonts w:hint="eastAsia"/>
          <w:bCs/>
          <w:color w:val="000000" w:themeColor="text1"/>
          <w:sz w:val="24"/>
          <w14:textFill>
            <w14:solidFill>
              <w14:schemeClr w14:val="tx1"/>
            </w14:solidFill>
          </w14:textFill>
        </w:rPr>
        <w:t>或按照调整后的规定执行</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禁止行为</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为维护基金份额持有人的合法权益，基金财产不得用于下列投资或者活动：</w:t>
      </w:r>
    </w:p>
    <w:p>
      <w:pPr>
        <w:spacing w:line="360" w:lineRule="auto"/>
        <w:ind w:firstLine="480" w:firstLineChars="200"/>
        <w:rPr>
          <w:bCs/>
          <w:color w:val="000000" w:themeColor="text1"/>
          <w:sz w:val="24"/>
          <w14:textFill>
            <w14:solidFill>
              <w14:schemeClr w14:val="tx1"/>
            </w14:solidFill>
          </w14:textFill>
        </w:rPr>
      </w:pPr>
      <w:bookmarkStart w:id="305" w:name="_Hlk21865921"/>
      <w:r>
        <w:rPr>
          <w:bCs/>
          <w:color w:val="000000" w:themeColor="text1"/>
          <w:sz w:val="24"/>
          <w14:textFill>
            <w14:solidFill>
              <w14:schemeClr w14:val="tx1"/>
            </w14:solidFill>
          </w14:textFill>
        </w:rPr>
        <w:t>（1）承销证券；</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2</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违反规定</w:t>
      </w:r>
      <w:r>
        <w:rPr>
          <w:bCs/>
          <w:color w:val="000000" w:themeColor="text1"/>
          <w:sz w:val="24"/>
          <w14:textFill>
            <w14:solidFill>
              <w14:schemeClr w14:val="tx1"/>
            </w14:solidFill>
          </w14:textFill>
        </w:rPr>
        <w:t>向他人贷款或者提供担保；</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3</w:t>
      </w:r>
      <w:r>
        <w:rPr>
          <w:bCs/>
          <w:color w:val="000000" w:themeColor="text1"/>
          <w:sz w:val="24"/>
          <w14:textFill>
            <w14:solidFill>
              <w14:schemeClr w14:val="tx1"/>
            </w14:solidFill>
          </w14:textFill>
        </w:rPr>
        <w:t>）从事承担无限责任的投资；</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4</w:t>
      </w:r>
      <w:r>
        <w:rPr>
          <w:bCs/>
          <w:color w:val="000000" w:themeColor="text1"/>
          <w:sz w:val="24"/>
          <w14:textFill>
            <w14:solidFill>
              <w14:schemeClr w14:val="tx1"/>
            </w14:solidFill>
          </w14:textFill>
        </w:rPr>
        <w:t>）买卖其他基金份额，但是</w:t>
      </w:r>
      <w:r>
        <w:rPr>
          <w:rFonts w:hint="eastAsia"/>
          <w:bCs/>
          <w:color w:val="000000" w:themeColor="text1"/>
          <w:sz w:val="24"/>
          <w14:textFill>
            <w14:solidFill>
              <w14:schemeClr w14:val="tx1"/>
            </w14:solidFill>
          </w14:textFill>
        </w:rPr>
        <w:t>中国证监会</w:t>
      </w:r>
      <w:r>
        <w:rPr>
          <w:bCs/>
          <w:color w:val="000000" w:themeColor="text1"/>
          <w:sz w:val="24"/>
          <w14:textFill>
            <w14:solidFill>
              <w14:schemeClr w14:val="tx1"/>
            </w14:solidFill>
          </w14:textFill>
        </w:rPr>
        <w:t>另有规定的除外；</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5</w:t>
      </w:r>
      <w:r>
        <w:rPr>
          <w:bCs/>
          <w:color w:val="000000" w:themeColor="text1"/>
          <w:sz w:val="24"/>
          <w14:textFill>
            <w14:solidFill>
              <w14:schemeClr w14:val="tx1"/>
            </w14:solidFill>
          </w14:textFill>
        </w:rPr>
        <w:t>）向其基金管理人、基金托管人出资；</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6</w:t>
      </w:r>
      <w:r>
        <w:rPr>
          <w:bCs/>
          <w:color w:val="000000" w:themeColor="text1"/>
          <w:sz w:val="24"/>
          <w14:textFill>
            <w14:solidFill>
              <w14:schemeClr w14:val="tx1"/>
            </w14:solidFill>
          </w14:textFill>
        </w:rPr>
        <w:t>）从事内幕交易、操纵证券交易价格及其他不正当的证券交易活动；</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7</w:t>
      </w:r>
      <w:r>
        <w:rPr>
          <w:bCs/>
          <w:color w:val="000000" w:themeColor="text1"/>
          <w:sz w:val="24"/>
          <w14:textFill>
            <w14:solidFill>
              <w14:schemeClr w14:val="tx1"/>
            </w14:solidFill>
          </w14:textFill>
        </w:rPr>
        <w:t>）法律</w:t>
      </w:r>
      <w:r>
        <w:rPr>
          <w:rFonts w:hint="eastAsia"/>
          <w:bCs/>
          <w:color w:val="000000" w:themeColor="text1"/>
          <w:sz w:val="24"/>
          <w14:textFill>
            <w14:solidFill>
              <w14:schemeClr w14:val="tx1"/>
            </w14:solidFill>
          </w14:textFill>
        </w:rPr>
        <w:t>、行政</w:t>
      </w:r>
      <w:r>
        <w:rPr>
          <w:bCs/>
          <w:color w:val="000000" w:themeColor="text1"/>
          <w:sz w:val="24"/>
          <w14:textFill>
            <w14:solidFill>
              <w14:schemeClr w14:val="tx1"/>
            </w14:solidFill>
          </w14:textFill>
        </w:rPr>
        <w:t>法规</w:t>
      </w:r>
      <w:r>
        <w:rPr>
          <w:rFonts w:hint="eastAsia"/>
          <w:bCs/>
          <w:color w:val="000000" w:themeColor="text1"/>
          <w:sz w:val="24"/>
          <w14:textFill>
            <w14:solidFill>
              <w14:schemeClr w14:val="tx1"/>
            </w14:solidFill>
          </w14:textFill>
        </w:rPr>
        <w:t>和</w:t>
      </w:r>
      <w:r>
        <w:rPr>
          <w:bCs/>
          <w:color w:val="000000" w:themeColor="text1"/>
          <w:sz w:val="24"/>
          <w14:textFill>
            <w14:solidFill>
              <w14:schemeClr w14:val="tx1"/>
            </w14:solidFill>
          </w14:textFill>
        </w:rPr>
        <w:t>中国证监会规定禁止的其他活动</w:t>
      </w:r>
      <w:r>
        <w:rPr>
          <w:rFonts w:hint="eastAsia"/>
          <w:bCs/>
          <w:color w:val="000000" w:themeColor="text1"/>
          <w:sz w:val="24"/>
          <w14:textFill>
            <w14:solidFill>
              <w14:schemeClr w14:val="tx1"/>
            </w14:solidFill>
          </w14:textFill>
        </w:rPr>
        <w:t>。</w:t>
      </w:r>
    </w:p>
    <w:bookmarkEnd w:id="305"/>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Pr>
          <w:rFonts w:hint="eastAsia"/>
          <w:color w:val="000000" w:themeColor="text1"/>
          <w:sz w:val="24"/>
          <w14:textFill>
            <w14:solidFill>
              <w14:schemeClr w14:val="tx1"/>
            </w14:solidFill>
          </w14:textFill>
        </w:rPr>
        <w:t xml:space="preserve">  </w:t>
      </w:r>
    </w:p>
    <w:p>
      <w:pPr>
        <w:spacing w:line="360" w:lineRule="auto"/>
        <w:ind w:firstLine="480" w:firstLineChars="200"/>
        <w:rPr>
          <w:bCs/>
          <w:color w:val="000000" w:themeColor="text1"/>
          <w:sz w:val="24"/>
          <w14:textFill>
            <w14:solidFill>
              <w14:schemeClr w14:val="tx1"/>
            </w14:solidFill>
          </w14:textFill>
        </w:rPr>
      </w:pPr>
      <w:bookmarkStart w:id="306" w:name="_Hlk21865909"/>
      <w:r>
        <w:rPr>
          <w:bCs/>
          <w:color w:val="000000" w:themeColor="text1"/>
          <w:sz w:val="24"/>
          <w14:textFill>
            <w14:solidFill>
              <w14:schemeClr w14:val="tx1"/>
            </w14:solidFill>
          </w14:textFill>
        </w:rPr>
        <w:t>法律</w:t>
      </w:r>
      <w:r>
        <w:rPr>
          <w:rFonts w:hint="eastAsia"/>
          <w:bCs/>
          <w:color w:val="000000" w:themeColor="text1"/>
          <w:sz w:val="24"/>
          <w14:textFill>
            <w14:solidFill>
              <w14:schemeClr w14:val="tx1"/>
            </w14:solidFill>
          </w14:textFill>
        </w:rPr>
        <w:t>、行政</w:t>
      </w:r>
      <w:r>
        <w:rPr>
          <w:bCs/>
          <w:color w:val="000000" w:themeColor="text1"/>
          <w:sz w:val="24"/>
          <w14:textFill>
            <w14:solidFill>
              <w14:schemeClr w14:val="tx1"/>
            </w14:solidFill>
          </w14:textFill>
        </w:rPr>
        <w:t>法规或监管部门取消或调整上述限制，如适用于本基金，</w:t>
      </w:r>
      <w:r>
        <w:rPr>
          <w:rFonts w:hint="eastAsia"/>
          <w:bCs/>
          <w:color w:val="000000" w:themeColor="text1"/>
          <w:sz w:val="24"/>
          <w14:textFill>
            <w14:solidFill>
              <w14:schemeClr w14:val="tx1"/>
            </w14:solidFill>
          </w14:textFill>
        </w:rPr>
        <w:t>基金管理人在履行适当程序后，</w:t>
      </w:r>
      <w:r>
        <w:rPr>
          <w:bCs/>
          <w:color w:val="000000" w:themeColor="text1"/>
          <w:sz w:val="24"/>
          <w14:textFill>
            <w14:solidFill>
              <w14:schemeClr w14:val="tx1"/>
            </w14:solidFill>
          </w14:textFill>
        </w:rPr>
        <w:t>则本基金投资不再受相关限制</w:t>
      </w:r>
      <w:bookmarkEnd w:id="306"/>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六</w:t>
      </w:r>
      <w:r>
        <w:rPr>
          <w:bCs/>
          <w:color w:val="000000" w:themeColor="text1"/>
          <w:sz w:val="24"/>
          <w14:textFill>
            <w14:solidFill>
              <w14:schemeClr w14:val="tx1"/>
            </w14:solidFill>
          </w14:textFill>
        </w:rPr>
        <w:t>、业绩比较基准</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本基金的业绩比较基准为中证AAA科技创新公司债指数收益率。</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中证AAA科技创新公司债指数</w:t>
      </w:r>
      <w:r>
        <w:rPr>
          <w:color w:val="000000" w:themeColor="text1"/>
          <w:sz w:val="24"/>
          <w14:textFill>
            <w14:solidFill>
              <w14:schemeClr w14:val="tx1"/>
            </w14:solidFill>
          </w14:textFill>
        </w:rPr>
        <w:t>由</w:t>
      </w:r>
      <w:r>
        <w:rPr>
          <w:rFonts w:hint="eastAsia"/>
          <w:color w:val="000000" w:themeColor="text1"/>
          <w:sz w:val="24"/>
          <w14:textFill>
            <w14:solidFill>
              <w14:schemeClr w14:val="tx1"/>
            </w14:solidFill>
          </w14:textFill>
        </w:rPr>
        <w:t>中证指数有限公司</w:t>
      </w:r>
      <w:r>
        <w:rPr>
          <w:color w:val="000000" w:themeColor="text1"/>
          <w:sz w:val="24"/>
          <w14:textFill>
            <w14:solidFill>
              <w14:schemeClr w14:val="tx1"/>
            </w14:solidFill>
          </w14:textFill>
        </w:rPr>
        <w:t>编制及发布</w:t>
      </w:r>
      <w:r>
        <w:rPr>
          <w:rFonts w:hint="eastAsia"/>
          <w:color w:val="000000" w:themeColor="text1"/>
          <w:sz w:val="24"/>
          <w14:textFill>
            <w14:solidFill>
              <w14:schemeClr w14:val="tx1"/>
            </w14:solidFill>
          </w14:textFill>
        </w:rPr>
        <w:t>，从沪深交易所上市的科技创新公司债，选取剩余期限、信用评级符合条件的债券作为指数样本，反映相应科技创新公司债的整体表现。</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未来若出现标的指数不符合要求（因成份证券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w:t>
      </w:r>
      <w:r>
        <w:rPr>
          <w:color w:val="000000" w:themeColor="text1"/>
          <w:sz w:val="24"/>
          <w14:textFill>
            <w14:solidFill>
              <w14:schemeClr w14:val="tx1"/>
            </w14:solidFill>
          </w14:textFill>
        </w:rPr>
        <w:t xml:space="preserve"> 6 </w:t>
      </w:r>
      <w:r>
        <w:rPr>
          <w:rFonts w:hint="eastAsia"/>
          <w:color w:val="000000" w:themeColor="text1"/>
          <w:sz w:val="24"/>
          <w14:textFill>
            <w14:solidFill>
              <w14:schemeClr w14:val="tx1"/>
            </w14:solidFill>
          </w14:textFill>
        </w:rPr>
        <w:t>个月内召集基金份额持有人大会进行表决，基金份额持有人大会未成功召开或就上述事项表决未通过的，基金合同终止。</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自指数编制机构停止标的指数的编制及发布至解决方案确定期间，基金管理人应按照指数编制机构提供的最近一个交易日的指数信息遵循基金份额持有人利益优先原则维持基金投资运作。</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若出现指数更名等对基金投资无实质性影响的标的指数变更情形，则无需召开基金份额持有人大会，基金管理人应与基金托管人协商一致并履行适当程序后，在规定媒介上公告。</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七、</w:t>
      </w:r>
      <w:r>
        <w:rPr>
          <w:color w:val="000000" w:themeColor="text1"/>
          <w:sz w:val="24"/>
          <w14:textFill>
            <w14:solidFill>
              <w14:schemeClr w14:val="tx1"/>
            </w14:solidFill>
          </w14:textFill>
        </w:rPr>
        <w:t>风险收益特征</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本基金属于债券型基金，其预期收益及预期风险水平高于货币市场基金，低于混合型基金与股票型基金。</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本基金</w:t>
      </w:r>
      <w:r>
        <w:rPr>
          <w:rFonts w:hint="eastAsia"/>
          <w:color w:val="000000" w:themeColor="text1"/>
          <w:sz w:val="24"/>
          <w14:textFill>
            <w14:solidFill>
              <w14:schemeClr w14:val="tx1"/>
            </w14:solidFill>
          </w14:textFill>
        </w:rPr>
        <w:t>属于</w:t>
      </w:r>
      <w:r>
        <w:rPr>
          <w:color w:val="000000" w:themeColor="text1"/>
          <w:sz w:val="24"/>
          <w14:textFill>
            <w14:solidFill>
              <w14:schemeClr w14:val="tx1"/>
            </w14:solidFill>
          </w14:textFill>
        </w:rPr>
        <w:t>指数基金，采用</w:t>
      </w:r>
      <w:r>
        <w:rPr>
          <w:rFonts w:hint="eastAsia"/>
          <w:color w:val="000000" w:themeColor="text1"/>
          <w:sz w:val="24"/>
          <w14:textFill>
            <w14:solidFill>
              <w14:schemeClr w14:val="tx1"/>
            </w14:solidFill>
          </w14:textFill>
        </w:rPr>
        <w:t>分层</w:t>
      </w:r>
      <w:r>
        <w:rPr>
          <w:color w:val="000000" w:themeColor="text1"/>
          <w:sz w:val="24"/>
          <w14:textFill>
            <w14:solidFill>
              <w14:schemeClr w14:val="tx1"/>
            </w14:solidFill>
          </w14:textFill>
        </w:rPr>
        <w:t>抽样复制法跟踪标的指数表现，具有与标的指数以及标的指数所代表的</w:t>
      </w:r>
      <w:r>
        <w:rPr>
          <w:rFonts w:hint="eastAsia"/>
          <w:color w:val="000000" w:themeColor="text1"/>
          <w:sz w:val="24"/>
          <w14:textFill>
            <w14:solidFill>
              <w14:schemeClr w14:val="tx1"/>
            </w14:solidFill>
          </w14:textFill>
        </w:rPr>
        <w:t>债券</w:t>
      </w:r>
      <w:r>
        <w:rPr>
          <w:color w:val="000000" w:themeColor="text1"/>
          <w:sz w:val="24"/>
          <w14:textFill>
            <w14:solidFill>
              <w14:schemeClr w14:val="tx1"/>
            </w14:solidFill>
          </w14:textFill>
        </w:rPr>
        <w:t>市场组合相似的风险收益特征。</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八</w:t>
      </w:r>
      <w:r>
        <w:rPr>
          <w:color w:val="000000" w:themeColor="text1"/>
          <w:sz w:val="24"/>
          <w14:textFill>
            <w14:solidFill>
              <w14:schemeClr w14:val="tx1"/>
            </w14:solidFill>
          </w14:textFill>
        </w:rPr>
        <w:t>、基金管理人代表基金行使相关权利的处理原则及方法</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1、基金管理人按照国家有关规定代表基金独立行使</w:t>
      </w:r>
      <w:r>
        <w:rPr>
          <w:rFonts w:hint="eastAsia"/>
          <w:color w:val="000000" w:themeColor="text1"/>
          <w:sz w:val="24"/>
          <w14:textFill>
            <w14:solidFill>
              <w14:schemeClr w14:val="tx1"/>
            </w14:solidFill>
          </w14:textFill>
        </w:rPr>
        <w:t>相关</w:t>
      </w:r>
      <w:r>
        <w:rPr>
          <w:color w:val="000000" w:themeColor="text1"/>
          <w:sz w:val="24"/>
          <w14:textFill>
            <w14:solidFill>
              <w14:schemeClr w14:val="tx1"/>
            </w14:solidFill>
          </w14:textFill>
        </w:rPr>
        <w:t xml:space="preserve">权利，保护基金份额持有人的利益； </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2、有利于基金财产的安全与增值； </w:t>
      </w:r>
    </w:p>
    <w:p>
      <w:pPr>
        <w:spacing w:line="360" w:lineRule="auto"/>
        <w:ind w:firstLine="480" w:firstLineChars="200"/>
        <w:rPr>
          <w:b/>
          <w:color w:val="000000" w:themeColor="text1"/>
          <w:sz w:val="24"/>
          <w14:textFill>
            <w14:solidFill>
              <w14:schemeClr w14:val="tx1"/>
            </w14:solidFill>
          </w14:textFill>
        </w:rPr>
      </w:pPr>
      <w:r>
        <w:rPr>
          <w:color w:val="000000" w:themeColor="text1"/>
          <w:sz w:val="24"/>
          <w14:textFill>
            <w14:solidFill>
              <w14:schemeClr w14:val="tx1"/>
            </w14:solidFill>
          </w14:textFill>
        </w:rPr>
        <w:t>3、不通过关联交易为自身、雇员、授权代理人或任何存在利害关系的第三人牟取任何不当利益。</w:t>
      </w:r>
    </w:p>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kern w:val="44"/>
          <w:sz w:val="21"/>
          <w14:textFill>
            <w14:solidFill>
              <w14:schemeClr w14:val="tx1"/>
            </w14:solidFill>
          </w14:textFill>
        </w:rPr>
        <w:br w:type="page"/>
      </w:r>
      <w:bookmarkStart w:id="307" w:name="_Toc92662704"/>
      <w:bookmarkStart w:id="308" w:name="_Toc93226145"/>
      <w:bookmarkStart w:id="309" w:name="_Toc31611"/>
      <w:bookmarkStart w:id="310" w:name="_Toc24474"/>
      <w:bookmarkStart w:id="311" w:name="_Toc20102"/>
      <w:bookmarkStart w:id="312" w:name="_Toc141703893"/>
      <w:bookmarkStart w:id="313" w:name="_Toc29561"/>
      <w:bookmarkStart w:id="314" w:name="_Toc20782"/>
      <w:bookmarkStart w:id="315" w:name="_Toc128310496"/>
      <w:bookmarkStart w:id="316" w:name="_Toc104716701"/>
      <w:bookmarkStart w:id="317" w:name="_Toc26114"/>
      <w:bookmarkStart w:id="318" w:name="_Toc139991743"/>
      <w:bookmarkStart w:id="319" w:name="_Toc18000"/>
      <w:bookmarkStart w:id="320" w:name="_Toc21642"/>
      <w:bookmarkStart w:id="321" w:name="_Toc32030"/>
      <w:bookmarkStart w:id="322" w:name="_Toc3054"/>
      <w:r>
        <w:rPr>
          <w:rFonts w:ascii="Times New Roman"/>
          <w:color w:val="000000" w:themeColor="text1"/>
          <w:sz w:val="30"/>
          <w14:textFill>
            <w14:solidFill>
              <w14:schemeClr w14:val="tx1"/>
            </w14:solidFill>
          </w14:textFill>
        </w:rPr>
        <w:t>第十</w:t>
      </w:r>
      <w:r>
        <w:rPr>
          <w:rFonts w:hint="eastAsia" w:ascii="Times New Roman"/>
          <w:color w:val="000000" w:themeColor="text1"/>
          <w:sz w:val="30"/>
          <w14:textFill>
            <w14:solidFill>
              <w14:schemeClr w14:val="tx1"/>
            </w14:solidFill>
          </w14:textFill>
        </w:rPr>
        <w:t>五</w:t>
      </w:r>
      <w:r>
        <w:rPr>
          <w:rFonts w:ascii="Times New Roman"/>
          <w:color w:val="000000" w:themeColor="text1"/>
          <w:sz w:val="30"/>
          <w14:textFill>
            <w14:solidFill>
              <w14:schemeClr w14:val="tx1"/>
            </w14:solidFill>
          </w14:textFill>
        </w:rPr>
        <w:t>部分  基金</w:t>
      </w:r>
      <w:bookmarkEnd w:id="307"/>
      <w:bookmarkEnd w:id="308"/>
      <w:r>
        <w:rPr>
          <w:rFonts w:ascii="Times New Roman"/>
          <w:color w:val="000000" w:themeColor="text1"/>
          <w:sz w:val="30"/>
          <w14:textFill>
            <w14:solidFill>
              <w14:schemeClr w14:val="tx1"/>
            </w14:solidFill>
          </w14:textFill>
        </w:rPr>
        <w:t>的财产</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spacing w:line="360" w:lineRule="auto"/>
        <w:ind w:firstLine="480" w:firstLineChars="200"/>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一、基金资产总值</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基金资产总值是</w:t>
      </w:r>
      <w:r>
        <w:rPr>
          <w:rFonts w:hint="eastAsia"/>
          <w:bCs/>
          <w:color w:val="000000" w:themeColor="text1"/>
          <w:sz w:val="24"/>
          <w14:textFill>
            <w14:solidFill>
              <w14:schemeClr w14:val="tx1"/>
            </w14:solidFill>
          </w14:textFill>
        </w:rPr>
        <w:t>指基金拥有的各类有价证券、银行存款本息、基金应收款项及其他资产的价值总和</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二、基金资产净值</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基金资产净值是指基金资产总值减去基金负债后的价值。</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三、基金财产的账户</w:t>
      </w:r>
    </w:p>
    <w:p>
      <w:pPr>
        <w:spacing w:line="360" w:lineRule="auto"/>
        <w:ind w:firstLine="480" w:firstLineChars="200"/>
        <w:rPr>
          <w:color w:val="000000" w:themeColor="text1"/>
          <w14:textFill>
            <w14:solidFill>
              <w14:schemeClr w14:val="tx1"/>
            </w14:solidFill>
          </w14:textFill>
        </w:rPr>
      </w:pPr>
      <w:r>
        <w:rPr>
          <w:bCs/>
          <w:color w:val="000000" w:themeColor="text1"/>
          <w:sz w:val="24"/>
          <w14:textFill>
            <w14:solidFill>
              <w14:schemeClr w14:val="tx1"/>
            </w14:solidFill>
          </w14:textFill>
        </w:rPr>
        <w:t>基金托管人根据相关法律法规、规范性文件为本基金开立资金</w:t>
      </w:r>
      <w:r>
        <w:rPr>
          <w:rFonts w:hint="eastAsia"/>
          <w:bCs/>
          <w:color w:val="000000" w:themeColor="text1"/>
          <w:sz w:val="24"/>
          <w14:textFill>
            <w14:solidFill>
              <w14:schemeClr w14:val="tx1"/>
            </w14:solidFill>
          </w14:textFill>
        </w:rPr>
        <w:t>账户</w:t>
      </w:r>
      <w:r>
        <w:rPr>
          <w:bCs/>
          <w:color w:val="000000" w:themeColor="text1"/>
          <w:sz w:val="24"/>
          <w14:textFill>
            <w14:solidFill>
              <w14:schemeClr w14:val="tx1"/>
            </w14:solidFill>
          </w14:textFill>
        </w:rPr>
        <w:t>、证券</w:t>
      </w:r>
      <w:r>
        <w:rPr>
          <w:rFonts w:hint="eastAsia"/>
          <w:bCs/>
          <w:color w:val="000000" w:themeColor="text1"/>
          <w:sz w:val="24"/>
          <w14:textFill>
            <w14:solidFill>
              <w14:schemeClr w14:val="tx1"/>
            </w14:solidFill>
          </w14:textFill>
        </w:rPr>
        <w:t>账户</w:t>
      </w:r>
      <w:r>
        <w:rPr>
          <w:bCs/>
          <w:color w:val="000000" w:themeColor="text1"/>
          <w:sz w:val="24"/>
          <w14:textFill>
            <w14:solidFill>
              <w14:schemeClr w14:val="tx1"/>
            </w14:solidFill>
          </w14:textFill>
        </w:rPr>
        <w:t>以及投资所需的其他专用</w:t>
      </w:r>
      <w:r>
        <w:rPr>
          <w:rFonts w:hint="eastAsia"/>
          <w:bCs/>
          <w:color w:val="000000" w:themeColor="text1"/>
          <w:sz w:val="24"/>
          <w14:textFill>
            <w14:solidFill>
              <w14:schemeClr w14:val="tx1"/>
            </w14:solidFill>
          </w14:textFill>
        </w:rPr>
        <w:t>账户</w:t>
      </w:r>
      <w:r>
        <w:rPr>
          <w:bCs/>
          <w:color w:val="000000" w:themeColor="text1"/>
          <w:sz w:val="24"/>
          <w14:textFill>
            <w14:solidFill>
              <w14:schemeClr w14:val="tx1"/>
            </w14:solidFill>
          </w14:textFill>
        </w:rPr>
        <w:t>。开立的基金专用账户与基金管理人、基金托管人、基金销售机构和基金登记机构自有的财产账户以及其他基金财产账户相独立。</w:t>
      </w:r>
      <w:bookmarkStart w:id="323" w:name="_Hlt88841837"/>
      <w:bookmarkEnd w:id="323"/>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四、基金财产的保管和处分</w:t>
      </w:r>
      <w:bookmarkStart w:id="324" w:name="_Hlt88900062"/>
      <w:bookmarkEnd w:id="324"/>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本基金财产独立于基金管理人、基金托管人和基金</w:t>
      </w:r>
      <w:r>
        <w:rPr>
          <w:rFonts w:hint="eastAsia"/>
          <w:bCs/>
          <w:color w:val="000000" w:themeColor="text1"/>
          <w:sz w:val="24"/>
          <w14:textFill>
            <w14:solidFill>
              <w14:schemeClr w14:val="tx1"/>
            </w14:solidFill>
          </w14:textFill>
        </w:rPr>
        <w:t>销售</w:t>
      </w:r>
      <w:r>
        <w:rPr>
          <w:bCs/>
          <w:color w:val="000000" w:themeColor="text1"/>
          <w:sz w:val="24"/>
          <w14:textFill>
            <w14:solidFill>
              <w14:schemeClr w14:val="tx1"/>
            </w14:solidFill>
          </w14:textFill>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color w:val="000000" w:themeColor="text1"/>
          <w:sz w:val="24"/>
          <w14:textFill>
            <w14:solidFill>
              <w14:schemeClr w14:val="tx1"/>
            </w14:solidFill>
          </w14:textFill>
        </w:rPr>
        <w:t>非因基金财产本身承担的债务，不得对基金财产强制执行。</w:t>
      </w:r>
    </w:p>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kern w:val="44"/>
          <w:sz w:val="21"/>
          <w14:textFill>
            <w14:solidFill>
              <w14:schemeClr w14:val="tx1"/>
            </w14:solidFill>
          </w14:textFill>
        </w:rPr>
        <w:br w:type="page"/>
      </w:r>
      <w:bookmarkStart w:id="325" w:name="_Toc871"/>
      <w:bookmarkStart w:id="326" w:name="_Toc27832"/>
      <w:bookmarkStart w:id="327" w:name="_Toc17782"/>
      <w:bookmarkStart w:id="328" w:name="_Toc19714"/>
      <w:bookmarkStart w:id="329" w:name="_Toc7802"/>
      <w:bookmarkStart w:id="330" w:name="_Toc104716702"/>
      <w:bookmarkStart w:id="331" w:name="_Toc31917"/>
      <w:bookmarkStart w:id="332" w:name="_Toc141703894"/>
      <w:bookmarkStart w:id="333" w:name="_Toc139991744"/>
      <w:r>
        <w:rPr>
          <w:rFonts w:ascii="Times New Roman"/>
          <w:color w:val="000000" w:themeColor="text1"/>
          <w:sz w:val="30"/>
          <w14:textFill>
            <w14:solidFill>
              <w14:schemeClr w14:val="tx1"/>
            </w14:solidFill>
          </w14:textFill>
        </w:rPr>
        <w:t>第十</w:t>
      </w:r>
      <w:r>
        <w:rPr>
          <w:rFonts w:hint="eastAsia" w:ascii="Times New Roman"/>
          <w:color w:val="000000" w:themeColor="text1"/>
          <w:sz w:val="30"/>
          <w14:textFill>
            <w14:solidFill>
              <w14:schemeClr w14:val="tx1"/>
            </w14:solidFill>
          </w14:textFill>
        </w:rPr>
        <w:t>六</w:t>
      </w:r>
      <w:r>
        <w:rPr>
          <w:rFonts w:ascii="Times New Roman"/>
          <w:color w:val="000000" w:themeColor="text1"/>
          <w:sz w:val="30"/>
          <w14:textFill>
            <w14:solidFill>
              <w14:schemeClr w14:val="tx1"/>
            </w14:solidFill>
          </w14:textFill>
        </w:rPr>
        <w:t>部分  基金资产估值</w:t>
      </w:r>
      <w:bookmarkEnd w:id="325"/>
      <w:bookmarkEnd w:id="326"/>
      <w:bookmarkEnd w:id="327"/>
      <w:bookmarkEnd w:id="328"/>
      <w:bookmarkEnd w:id="329"/>
      <w:bookmarkEnd w:id="330"/>
      <w:bookmarkEnd w:id="331"/>
    </w:p>
    <w:p>
      <w:pPr>
        <w:spacing w:line="360" w:lineRule="auto"/>
        <w:ind w:firstLine="480" w:firstLineChars="200"/>
        <w:rPr>
          <w:bCs/>
          <w:color w:val="000000" w:themeColor="text1"/>
          <w:sz w:val="24"/>
          <w14:textFill>
            <w14:solidFill>
              <w14:schemeClr w14:val="tx1"/>
            </w14:solidFill>
          </w14:textFill>
        </w:rPr>
      </w:pPr>
    </w:p>
    <w:bookmarkEnd w:id="332"/>
    <w:bookmarkEnd w:id="333"/>
    <w:p>
      <w:pPr>
        <w:spacing w:line="360" w:lineRule="auto"/>
        <w:ind w:firstLine="480" w:firstLineChars="200"/>
        <w:rPr>
          <w:bCs/>
          <w:color w:val="000000" w:themeColor="text1"/>
          <w:sz w:val="24"/>
          <w14:textFill>
            <w14:solidFill>
              <w14:schemeClr w14:val="tx1"/>
            </w14:solidFill>
          </w14:textFill>
        </w:rPr>
      </w:pPr>
      <w:bookmarkStart w:id="334" w:name="_Toc141703895"/>
      <w:bookmarkStart w:id="335" w:name="_Toc32046"/>
      <w:bookmarkStart w:id="336" w:name="_Toc139991745"/>
      <w:r>
        <w:rPr>
          <w:bCs/>
          <w:color w:val="000000" w:themeColor="text1"/>
          <w:sz w:val="24"/>
          <w14:textFill>
            <w14:solidFill>
              <w14:schemeClr w14:val="tx1"/>
            </w14:solidFill>
          </w14:textFill>
        </w:rPr>
        <w:t>一、估值日</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本基金的估值日为本基金相关的证券交易场所的交易日以及国家法律法规规定需要对外披露基金净值的非交易日。</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二、估值对象</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基金所拥有的债券、资产支持证券、银行存款本息、国债期货合约、信用衍生品、应收款项、其它投资等资产及负债。</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三、估值原则</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基金管理人在确定相关金融资产和金融负债的公允价值时，应符合《企业会计准则》、监管部门有关规定。</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3、如经济环境发生重大变化或证券发行人发生影响证券价格的重大事件，使潜在估值调整对前一估值日的基金资产净值的影响在0.25%以上的，应对估值进行调整并确定公允价值。</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四</w:t>
      </w:r>
      <w:r>
        <w:rPr>
          <w:bCs/>
          <w:color w:val="000000" w:themeColor="text1"/>
          <w:sz w:val="24"/>
          <w14:textFill>
            <w14:solidFill>
              <w14:schemeClr w14:val="tx1"/>
            </w14:solidFill>
          </w14:textFill>
        </w:rPr>
        <w:t>、估值方法</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对于已上市或已挂牌转让的不含权固定收益品种，选取第三方估值基准服务机构提供的相应品种当日的估值全价进行估值；对于已上市或已挂牌转让的含权固定收益品种，选取第三方估值基准服务机构提供的相应品种当日的唯一估值全价或推荐估值全价进行估值。</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于含投资者回售权的固定收益品种，行使回售权的，在回售登记日至实际收款日期间选取第三方估值基准服务机构提供的相应品种的唯一估值全价或推荐估值全价进行估值，同时将充分考虑发行人的信用风险变化对公允价值的影响。回售登记期截止日（含当日）后未行使回售权的按照长待偿期所对应的价格进行估值。</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2、对于未上市或未挂牌转让且不存在活跃市场的固定收益品种，应采用在当前情况下适用并且有足够可利用数据和其他信息支持的估值技术确定其公允价值。</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3、同一债券同时在两个或两个以上市场交易的，按债券所处的市场分别估值。</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4、本基金存入银行或其他金融机构的各种款项以本金列示，按协议或约定利率逐日确认利息收入。</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5、债券回购以协议金额列示，按协议利率在实际持有期内逐日计提利息。</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6、国债期货合约以估值日的结算价估值。估值当日无结算价的，且最近交易日后经济环境未发生重大变化的，采用最近交易日结算价估值。如法律法规今后另有规定的，从其规定。</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对于发行人已破产、发行人未能按时足额偿付本金或利息，或者有其它可靠信息表明本金或利息无法按时足额偿付的债券投资品种，基金管理人在与托管人协商一致后，可采用第三方估值基准服务机构提供的推荐价格或者价格区间中的数据作为该债券投资品种的公允价值。</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信用衍生品按照第三方估值机构提供的当日估值价格进行估值，但管理人依法应当承担的估值责任不因委托而免除。 选定的第三方估值机构未提供估值价格的，依照有关法律法规及企业会计准则的要求采用合理估值技术确定其公允价值。</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、相关法律法规以及监管部门有强制规定的，从其规定。如有新增事项，按国家最新规定估值。</w:t>
      </w:r>
    </w:p>
    <w:p>
      <w:pPr>
        <w:spacing w:line="360" w:lineRule="auto"/>
        <w:ind w:firstLine="480" w:firstLineChars="200"/>
        <w:rPr>
          <w:rStyle w:val="35"/>
          <w:bCs/>
          <w:color w:val="000000" w:themeColor="text1"/>
          <w:sz w:val="24"/>
          <w14:textFill>
            <w14:solidFill>
              <w14:schemeClr w14:val="tx1"/>
            </w14:solidFill>
          </w14:textFill>
        </w:rPr>
      </w:pPr>
      <w:r>
        <w:rPr>
          <w:rStyle w:val="35"/>
          <w:bCs/>
          <w:color w:val="000000" w:themeColor="text1"/>
          <w:sz w:val="24"/>
          <w14:textFill>
            <w14:solidFill>
              <w14:schemeClr w14:val="tx1"/>
            </w14:solidFill>
          </w14:textFill>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五</w:t>
      </w:r>
      <w:r>
        <w:rPr>
          <w:bCs/>
          <w:color w:val="000000" w:themeColor="text1"/>
          <w:sz w:val="24"/>
          <w14:textFill>
            <w14:solidFill>
              <w14:schemeClr w14:val="tx1"/>
            </w14:solidFill>
          </w14:textFill>
        </w:rPr>
        <w:t>、估值程序</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1、基金份额净值是按照每个</w:t>
      </w:r>
      <w:r>
        <w:rPr>
          <w:rFonts w:hint="eastAsia"/>
          <w:bCs/>
          <w:color w:val="000000" w:themeColor="text1"/>
          <w:sz w:val="24"/>
          <w14:textFill>
            <w14:solidFill>
              <w14:schemeClr w14:val="tx1"/>
            </w14:solidFill>
          </w14:textFill>
        </w:rPr>
        <w:t>估值</w:t>
      </w:r>
      <w:r>
        <w:rPr>
          <w:bCs/>
          <w:color w:val="000000" w:themeColor="text1"/>
          <w:sz w:val="24"/>
          <w14:textFill>
            <w14:solidFill>
              <w14:schemeClr w14:val="tx1"/>
            </w14:solidFill>
          </w14:textFill>
        </w:rPr>
        <w:t>日闭市后，基金资产净值除以当日基金份额的余额数量计算，精确到</w:t>
      </w:r>
      <w:r>
        <w:rPr>
          <w:rFonts w:hint="eastAsia"/>
          <w:color w:val="000000" w:themeColor="text1"/>
          <w:sz w:val="24"/>
          <w14:textFill>
            <w14:solidFill>
              <w14:schemeClr w14:val="tx1"/>
            </w14:solidFill>
          </w14:textFill>
        </w:rPr>
        <w:t>0.0001</w:t>
      </w:r>
      <w:r>
        <w:rPr>
          <w:color w:val="000000" w:themeColor="text1"/>
          <w:sz w:val="24"/>
          <w14:textFill>
            <w14:solidFill>
              <w14:schemeClr w14:val="tx1"/>
            </w14:solidFill>
          </w14:textFill>
        </w:rPr>
        <w:t>元</w:t>
      </w:r>
      <w:r>
        <w:rPr>
          <w:bCs/>
          <w:color w:val="000000" w:themeColor="text1"/>
          <w:sz w:val="24"/>
          <w14:textFill>
            <w14:solidFill>
              <w14:schemeClr w14:val="tx1"/>
            </w14:solidFill>
          </w14:textFill>
        </w:rPr>
        <w:t>，小数点后</w:t>
      </w:r>
      <w:r>
        <w:rPr>
          <w:color w:val="000000" w:themeColor="text1"/>
          <w:sz w:val="24"/>
          <w14:textFill>
            <w14:solidFill>
              <w14:schemeClr w14:val="tx1"/>
            </w14:solidFill>
          </w14:textFill>
        </w:rPr>
        <w:t>第</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位</w:t>
      </w:r>
      <w:r>
        <w:rPr>
          <w:bCs/>
          <w:color w:val="000000" w:themeColor="text1"/>
          <w:sz w:val="24"/>
          <w14:textFill>
            <w14:solidFill>
              <w14:schemeClr w14:val="tx1"/>
            </w14:solidFill>
          </w14:textFill>
        </w:rPr>
        <w:t>四舍五入</w:t>
      </w:r>
      <w:bookmarkStart w:id="337" w:name="_Hlk177991257"/>
      <w:r>
        <w:rPr>
          <w:rFonts w:hint="eastAsia"/>
          <w:bCs/>
          <w:color w:val="000000" w:themeColor="text1"/>
          <w:sz w:val="24"/>
          <w14:textFill>
            <w14:solidFill>
              <w14:schemeClr w14:val="tx1"/>
            </w14:solidFill>
          </w14:textFill>
        </w:rPr>
        <w:t>，由此产生的误差计入基金财产</w:t>
      </w:r>
      <w:bookmarkEnd w:id="337"/>
      <w:r>
        <w:rPr>
          <w:bCs/>
          <w:color w:val="000000" w:themeColor="text1"/>
          <w:sz w:val="24"/>
          <w14:textFill>
            <w14:solidFill>
              <w14:schemeClr w14:val="tx1"/>
            </w14:solidFill>
          </w14:textFill>
        </w:rPr>
        <w:t>。</w:t>
      </w:r>
      <w:bookmarkStart w:id="338" w:name="_Hlk177991269"/>
      <w:r>
        <w:rPr>
          <w:rFonts w:hint="eastAsia"/>
          <w:bCs/>
          <w:color w:val="000000" w:themeColor="text1"/>
          <w:sz w:val="24"/>
          <w14:textFill>
            <w14:solidFill>
              <w14:schemeClr w14:val="tx1"/>
            </w14:solidFill>
          </w14:textFill>
        </w:rPr>
        <w:t>基金管理人可以设立大额赎回情形下的净值精度应急调整机制。</w:t>
      </w:r>
      <w:bookmarkEnd w:id="338"/>
      <w:r>
        <w:rPr>
          <w:bCs/>
          <w:color w:val="000000" w:themeColor="text1"/>
          <w:sz w:val="24"/>
          <w14:textFill>
            <w14:solidFill>
              <w14:schemeClr w14:val="tx1"/>
            </w14:solidFill>
          </w14:textFill>
        </w:rPr>
        <w:t>国家</w:t>
      </w:r>
      <w:r>
        <w:rPr>
          <w:rFonts w:hint="eastAsia"/>
          <w:bCs/>
          <w:color w:val="000000" w:themeColor="text1"/>
          <w:sz w:val="24"/>
          <w14:textFill>
            <w14:solidFill>
              <w14:schemeClr w14:val="tx1"/>
            </w14:solidFill>
          </w14:textFill>
        </w:rPr>
        <w:t>法律法规</w:t>
      </w:r>
      <w:r>
        <w:rPr>
          <w:bCs/>
          <w:color w:val="000000" w:themeColor="text1"/>
          <w:sz w:val="24"/>
          <w14:textFill>
            <w14:solidFill>
              <w14:schemeClr w14:val="tx1"/>
            </w14:solidFill>
          </w14:textFill>
        </w:rPr>
        <w:t>另有规定的，从其规定。</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基金管理人</w:t>
      </w:r>
      <w:r>
        <w:rPr>
          <w:bCs/>
          <w:color w:val="000000" w:themeColor="text1"/>
          <w:sz w:val="24"/>
          <w14:textFill>
            <w14:solidFill>
              <w14:schemeClr w14:val="tx1"/>
            </w14:solidFill>
          </w14:textFill>
        </w:rPr>
        <w:t>每个</w:t>
      </w:r>
      <w:r>
        <w:rPr>
          <w:rFonts w:hint="eastAsia"/>
          <w:bCs/>
          <w:color w:val="000000" w:themeColor="text1"/>
          <w:sz w:val="24"/>
          <w14:textFill>
            <w14:solidFill>
              <w14:schemeClr w14:val="tx1"/>
            </w14:solidFill>
          </w14:textFill>
        </w:rPr>
        <w:t>估值</w:t>
      </w:r>
      <w:r>
        <w:rPr>
          <w:bCs/>
          <w:color w:val="000000" w:themeColor="text1"/>
          <w:sz w:val="24"/>
          <w14:textFill>
            <w14:solidFill>
              <w14:schemeClr w14:val="tx1"/>
            </w14:solidFill>
          </w14:textFill>
        </w:rPr>
        <w:t>日计算基金资产净值及基金份额净值，并按规定公告。</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2、基金管理人应每个</w:t>
      </w:r>
      <w:r>
        <w:rPr>
          <w:rFonts w:hint="eastAsia"/>
          <w:bCs/>
          <w:color w:val="000000" w:themeColor="text1"/>
          <w:sz w:val="24"/>
          <w14:textFill>
            <w14:solidFill>
              <w14:schemeClr w14:val="tx1"/>
            </w14:solidFill>
          </w14:textFill>
        </w:rPr>
        <w:t>估值</w:t>
      </w:r>
      <w:r>
        <w:rPr>
          <w:bCs/>
          <w:color w:val="000000" w:themeColor="text1"/>
          <w:sz w:val="24"/>
          <w14:textFill>
            <w14:solidFill>
              <w14:schemeClr w14:val="tx1"/>
            </w14:solidFill>
          </w14:textFill>
        </w:rPr>
        <w:t>日对基金资产估值。但基金管理人根据法律法规或本基金合同的规定暂停估值时除外。基金管理人每个</w:t>
      </w:r>
      <w:r>
        <w:rPr>
          <w:rFonts w:hint="eastAsia"/>
          <w:bCs/>
          <w:color w:val="000000" w:themeColor="text1"/>
          <w:sz w:val="24"/>
          <w14:textFill>
            <w14:solidFill>
              <w14:schemeClr w14:val="tx1"/>
            </w14:solidFill>
          </w14:textFill>
        </w:rPr>
        <w:t>估值</w:t>
      </w:r>
      <w:r>
        <w:rPr>
          <w:bCs/>
          <w:color w:val="000000" w:themeColor="text1"/>
          <w:sz w:val="24"/>
          <w14:textFill>
            <w14:solidFill>
              <w14:schemeClr w14:val="tx1"/>
            </w14:solidFill>
          </w14:textFill>
        </w:rPr>
        <w:t>日对基金资产估值后，将基金份额净值结果发送基金托管人，经基金托管人复核无误后，由基金管理人</w:t>
      </w:r>
      <w:r>
        <w:rPr>
          <w:rFonts w:hint="eastAsia"/>
          <w:bCs/>
          <w:color w:val="000000" w:themeColor="text1"/>
          <w:sz w:val="24"/>
          <w14:textFill>
            <w14:solidFill>
              <w14:schemeClr w14:val="tx1"/>
            </w14:solidFill>
          </w14:textFill>
        </w:rPr>
        <w:t>按约定</w:t>
      </w:r>
      <w:r>
        <w:rPr>
          <w:bCs/>
          <w:color w:val="000000" w:themeColor="text1"/>
          <w:sz w:val="24"/>
          <w14:textFill>
            <w14:solidFill>
              <w14:schemeClr w14:val="tx1"/>
            </w14:solidFill>
          </w14:textFill>
        </w:rPr>
        <w:t>对外公布。</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六</w:t>
      </w:r>
      <w:r>
        <w:rPr>
          <w:bCs/>
          <w:color w:val="000000" w:themeColor="text1"/>
          <w:sz w:val="24"/>
          <w14:textFill>
            <w14:solidFill>
              <w14:schemeClr w14:val="tx1"/>
            </w14:solidFill>
          </w14:textFill>
        </w:rPr>
        <w:t>、估值错误的处理</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基金管理人和基金托管人将采取必要、适当、合理的措施确保基金资产估值的准确性、及时性。当基金份额净值小数点</w:t>
      </w:r>
      <w:r>
        <w:rPr>
          <w:color w:val="000000" w:themeColor="text1"/>
          <w:sz w:val="24"/>
          <w14:textFill>
            <w14:solidFill>
              <w14:schemeClr w14:val="tx1"/>
            </w14:solidFill>
          </w14:textFill>
        </w:rPr>
        <w:t>后</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位</w:t>
      </w:r>
      <w:r>
        <w:rPr>
          <w:bCs/>
          <w:color w:val="000000" w:themeColor="text1"/>
          <w:sz w:val="24"/>
          <w14:textFill>
            <w14:solidFill>
              <w14:schemeClr w14:val="tx1"/>
            </w14:solidFill>
          </w14:textFill>
        </w:rPr>
        <w:t>以内</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含</w:t>
      </w:r>
      <w:r>
        <w:rPr>
          <w:color w:val="000000" w:themeColor="text1"/>
          <w:sz w:val="24"/>
          <w14:textFill>
            <w14:solidFill>
              <w14:schemeClr w14:val="tx1"/>
            </w14:solidFill>
          </w14:textFill>
        </w:rPr>
        <w:t>第</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位</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发生估值错误时，视为基金份额净值错误。</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本基金合同的当事人应按照以下约定处理：</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1、估值错误类型</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“受损方”</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的直接损失按下述“估值错误处理原则”给予赔偿，承担赔偿责任。</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上述估值错误的主要类型包括但不限于：资料申报差错、数据传输差错、数据计算差错、系统故障差错、下达指令差错等。</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2、估值错误处理原则</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2</w:t>
      </w:r>
      <w:r>
        <w:rPr>
          <w:bCs/>
          <w:color w:val="000000" w:themeColor="text1"/>
          <w:sz w:val="24"/>
          <w14:textFill>
            <w14:solidFill>
              <w14:schemeClr w14:val="tx1"/>
            </w14:solidFill>
          </w14:textFill>
        </w:rPr>
        <w:t>）估值错误的责任方对有关当事人的直接损失负责，不对间接损失负责，并且仅对估值错误的有关直接当事人负责，不对第三方负责。</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3</w:t>
      </w:r>
      <w:r>
        <w:rPr>
          <w:bCs/>
          <w:color w:val="000000" w:themeColor="text1"/>
          <w:sz w:val="24"/>
          <w14:textFill>
            <w14:solidFill>
              <w14:schemeClr w14:val="tx1"/>
            </w14:solidFill>
          </w14:textFill>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“受损方”</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4</w:t>
      </w:r>
      <w:r>
        <w:rPr>
          <w:bCs/>
          <w:color w:val="000000" w:themeColor="text1"/>
          <w:sz w:val="24"/>
          <w14:textFill>
            <w14:solidFill>
              <w14:schemeClr w14:val="tx1"/>
            </w14:solidFill>
          </w14:textFill>
        </w:rPr>
        <w:t>）估值错误调整采用尽量恢复至假设未发生估值错误的正确情形的方式。</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3、估值错误处理程序</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估值错误被发现后，有关的当事人应当及时进行处理，处理的程序如下：</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（1）查明估值错误发生的原因，列明所有的当事人，并根据估值错误发生的原因确定估值错误的责任方；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2</w:t>
      </w:r>
      <w:r>
        <w:rPr>
          <w:bCs/>
          <w:color w:val="000000" w:themeColor="text1"/>
          <w:sz w:val="24"/>
          <w14:textFill>
            <w14:solidFill>
              <w14:schemeClr w14:val="tx1"/>
            </w14:solidFill>
          </w14:textFill>
        </w:rPr>
        <w:t>）根据估值错误处理原则或当事人协商的方法对因估值错误造成的损失进行评估；</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3</w:t>
      </w:r>
      <w:r>
        <w:rPr>
          <w:bCs/>
          <w:color w:val="000000" w:themeColor="text1"/>
          <w:sz w:val="24"/>
          <w14:textFill>
            <w14:solidFill>
              <w14:schemeClr w14:val="tx1"/>
            </w14:solidFill>
          </w14:textFill>
        </w:rPr>
        <w:t>）根据估值错误处理原则或当事人协商的方法由估值错误的责任方进行更正和赔偿损失；</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4</w:t>
      </w:r>
      <w:r>
        <w:rPr>
          <w:bCs/>
          <w:color w:val="000000" w:themeColor="text1"/>
          <w:sz w:val="24"/>
          <w14:textFill>
            <w14:solidFill>
              <w14:schemeClr w14:val="tx1"/>
            </w14:solidFill>
          </w14:textFill>
        </w:rPr>
        <w:t>）根据估值错误处理的方法，需要修改基金登记机构交易数据的，由基金登记机构进行更正，并就估值错误的更正向有关当事人进行确认。</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4、基金份额净值估值错误处理的方法如下：</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（1）基金份额净值计算出现错误时，基金管理人应当立即予以纠正，通报基金托管人，并采取合理的措施防止损失进一步扩大。</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2</w:t>
      </w:r>
      <w:r>
        <w:rPr>
          <w:bCs/>
          <w:color w:val="000000" w:themeColor="text1"/>
          <w:sz w:val="24"/>
          <w14:textFill>
            <w14:solidFill>
              <w14:schemeClr w14:val="tx1"/>
            </w14:solidFill>
          </w14:textFill>
        </w:rPr>
        <w:t>）错误偏差达到基金份额净值的0.25%时，基金管理人应当通报基金托管人并报中国证监会备案；错误偏差达到基金份额净值的0.5%时，基金管理人应当公告</w:t>
      </w:r>
      <w:r>
        <w:rPr>
          <w:color w:val="000000" w:themeColor="text1"/>
          <w:sz w:val="24"/>
          <w14:textFill>
            <w14:solidFill>
              <w14:schemeClr w14:val="tx1"/>
            </w14:solidFill>
          </w14:textFill>
        </w:rPr>
        <w:t>，并报中国证监会备案</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3</w:t>
      </w:r>
      <w:r>
        <w:rPr>
          <w:bCs/>
          <w:color w:val="000000" w:themeColor="text1"/>
          <w:sz w:val="24"/>
          <w14:textFill>
            <w14:solidFill>
              <w14:schemeClr w14:val="tx1"/>
            </w14:solidFill>
          </w14:textFill>
        </w:rPr>
        <w:t>）前述内容如法律法规或监管机关另有规定的，从其规定处理。</w:t>
      </w:r>
      <w:r>
        <w:rPr>
          <w:rFonts w:hint="eastAsia"/>
          <w:bCs/>
          <w:color w:val="000000" w:themeColor="text1"/>
          <w:sz w:val="24"/>
          <w14:textFill>
            <w14:solidFill>
              <w14:schemeClr w14:val="tx1"/>
            </w14:solidFill>
          </w14:textFill>
        </w:rPr>
        <w:t>如果行业另有通行做法，</w:t>
      </w:r>
      <w:r>
        <w:rPr>
          <w:bCs/>
          <w:color w:val="000000" w:themeColor="text1"/>
          <w:sz w:val="24"/>
          <w14:textFill>
            <w14:solidFill>
              <w14:schemeClr w14:val="tx1"/>
            </w14:solidFill>
          </w14:textFill>
        </w:rPr>
        <w:t>基金管理人</w:t>
      </w:r>
      <w:r>
        <w:rPr>
          <w:rFonts w:hint="eastAsia"/>
          <w:bCs/>
          <w:color w:val="000000" w:themeColor="text1"/>
          <w:sz w:val="24"/>
          <w14:textFill>
            <w14:solidFill>
              <w14:schemeClr w14:val="tx1"/>
            </w14:solidFill>
          </w14:textFill>
        </w:rPr>
        <w:t>、基金托管人应本着平等和保护基金份额持有人利益的原则进行协商。</w:t>
      </w:r>
    </w:p>
    <w:p>
      <w:pPr>
        <w:spacing w:line="360" w:lineRule="auto"/>
        <w:ind w:firstLine="480" w:firstLineChars="200"/>
        <w:rPr>
          <w:bCs/>
          <w:color w:val="000000" w:themeColor="text1"/>
          <w:sz w:val="24"/>
          <w14:textFill>
            <w14:solidFill>
              <w14:schemeClr w14:val="tx1"/>
            </w14:solidFill>
          </w14:textFill>
        </w:rPr>
      </w:pPr>
      <w:bookmarkStart w:id="339" w:name="OLE_LINK23"/>
      <w:r>
        <w:rPr>
          <w:rFonts w:hint="eastAsia"/>
          <w:bCs/>
          <w:color w:val="000000" w:themeColor="text1"/>
          <w:sz w:val="24"/>
          <w14:textFill>
            <w14:solidFill>
              <w14:schemeClr w14:val="tx1"/>
            </w14:solidFill>
          </w14:textFill>
        </w:rPr>
        <w:t>七</w:t>
      </w:r>
      <w:r>
        <w:rPr>
          <w:bCs/>
          <w:color w:val="000000" w:themeColor="text1"/>
          <w:sz w:val="24"/>
          <w14:textFill>
            <w14:solidFill>
              <w14:schemeClr w14:val="tx1"/>
            </w14:solidFill>
          </w14:textFill>
        </w:rPr>
        <w:t>、暂停估值的情形</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1、基金投资所涉及的证券</w:t>
      </w:r>
      <w:r>
        <w:rPr>
          <w:rFonts w:hint="eastAsia"/>
          <w:bCs/>
          <w:color w:val="000000" w:themeColor="text1"/>
          <w:sz w:val="24"/>
          <w14:textFill>
            <w14:solidFill>
              <w14:schemeClr w14:val="tx1"/>
            </w14:solidFill>
          </w14:textFill>
        </w:rPr>
        <w:t>、期货</w:t>
      </w:r>
      <w:r>
        <w:rPr>
          <w:bCs/>
          <w:color w:val="000000" w:themeColor="text1"/>
          <w:sz w:val="24"/>
          <w14:textFill>
            <w14:solidFill>
              <w14:schemeClr w14:val="tx1"/>
            </w14:solidFill>
          </w14:textFill>
        </w:rPr>
        <w:t>交易市场或银行间市场遇法定节假日或因其他原因暂停营业时；</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2、因不可抗力致使基金管理人、基金托管人无法准确评估基金资产价值时；</w:t>
      </w:r>
    </w:p>
    <w:p>
      <w:pPr>
        <w:spacing w:line="360" w:lineRule="auto"/>
        <w:ind w:firstLine="480" w:firstLineChars="200"/>
        <w:rPr>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当前一估值日基金资产净值 50%以上的资产出现无可参考的活跃市场价格且采用估值技术仍导致公允价值存在重大不确定性时，经与基金托管人协商确认后，基金管理人应当暂停估值</w:t>
      </w:r>
      <w:r>
        <w:rPr>
          <w:rFonts w:hint="eastAsia"/>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法律法规、</w:t>
      </w:r>
      <w:r>
        <w:rPr>
          <w:bCs/>
          <w:color w:val="000000" w:themeColor="text1"/>
          <w:sz w:val="24"/>
          <w14:textFill>
            <w14:solidFill>
              <w14:schemeClr w14:val="tx1"/>
            </w14:solidFill>
          </w14:textFill>
        </w:rPr>
        <w:t>中国证监会</w:t>
      </w:r>
      <w:r>
        <w:rPr>
          <w:rFonts w:hint="eastAsia"/>
          <w:bCs/>
          <w:color w:val="000000" w:themeColor="text1"/>
          <w:sz w:val="24"/>
          <w14:textFill>
            <w14:solidFill>
              <w14:schemeClr w14:val="tx1"/>
            </w14:solidFill>
          </w14:textFill>
        </w:rPr>
        <w:t>规定</w:t>
      </w:r>
      <w:r>
        <w:rPr>
          <w:bCs/>
          <w:color w:val="000000" w:themeColor="text1"/>
          <w:sz w:val="24"/>
          <w14:textFill>
            <w14:solidFill>
              <w14:schemeClr w14:val="tx1"/>
            </w14:solidFill>
          </w14:textFill>
        </w:rPr>
        <w:t>和基金合同认定的其它情形。</w:t>
      </w:r>
    </w:p>
    <w:bookmarkEnd w:id="339"/>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八</w:t>
      </w:r>
      <w:r>
        <w:rPr>
          <w:bCs/>
          <w:color w:val="000000" w:themeColor="text1"/>
          <w:sz w:val="24"/>
          <w14:textFill>
            <w14:solidFill>
              <w14:schemeClr w14:val="tx1"/>
            </w14:solidFill>
          </w14:textFill>
        </w:rPr>
        <w:t>、基金净值的确认</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pPr>
        <w:spacing w:line="360" w:lineRule="auto"/>
        <w:ind w:firstLine="480" w:firstLineChars="200"/>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九</w:t>
      </w:r>
      <w:r>
        <w:rPr>
          <w:rFonts w:ascii="Arial" w:hAnsi="Arial" w:cs="Arial"/>
          <w:color w:val="000000" w:themeColor="text1"/>
          <w:sz w:val="24"/>
          <w14:textFill>
            <w14:solidFill>
              <w14:schemeClr w14:val="tx1"/>
            </w14:solidFill>
          </w14:textFill>
        </w:rPr>
        <w:t>、特殊情况的处理</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1、基金管理人或基金托管人按估值方法的第</w:t>
      </w:r>
      <w:r>
        <w:rPr>
          <w:bCs/>
          <w:color w:val="000000" w:themeColor="text1"/>
          <w:sz w:val="24"/>
          <w14:textFill>
            <w14:solidFill>
              <w14:schemeClr w14:val="tx1"/>
            </w14:solidFill>
          </w14:textFill>
        </w:rPr>
        <w:t>9</w:t>
      </w:r>
      <w:r>
        <w:rPr>
          <w:rFonts w:hint="eastAsia"/>
          <w:bCs/>
          <w:color w:val="000000" w:themeColor="text1"/>
          <w:sz w:val="24"/>
          <w14:textFill>
            <w14:solidFill>
              <w14:schemeClr w14:val="tx1"/>
            </w14:solidFill>
          </w14:textFill>
        </w:rPr>
        <w:t>项进行估值时，所造成的误差不作为基金资产估值错误处理。</w:t>
      </w:r>
    </w:p>
    <w:p>
      <w:pPr>
        <w:spacing w:line="360" w:lineRule="auto"/>
        <w:ind w:firstLine="480" w:firstLineChars="200"/>
        <w:rPr>
          <w:bCs/>
          <w:color w:val="000000" w:themeColor="text1"/>
          <w:sz w:val="24"/>
          <w14:textFill>
            <w14:solidFill>
              <w14:schemeClr w14:val="tx1"/>
            </w14:solidFill>
          </w14:textFill>
        </w:rPr>
      </w:pPr>
      <w:bookmarkStart w:id="340" w:name="OLE_LINK22"/>
      <w:r>
        <w:rPr>
          <w:rFonts w:hint="eastAsia"/>
          <w:bCs/>
          <w:color w:val="000000" w:themeColor="text1"/>
          <w:sz w:val="24"/>
          <w14:textFill>
            <w14:solidFill>
              <w14:schemeClr w14:val="tx1"/>
            </w14:solidFill>
          </w14:textFill>
        </w:rPr>
        <w:t>2、由于不可抗力原因，或由于证券交易所、银行间市场、指数编制单位或登记机构及存款银行等第三方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br w:type="page"/>
      </w:r>
    </w:p>
    <w:bookmarkEnd w:id="340"/>
    <w:p>
      <w:pPr>
        <w:pStyle w:val="2"/>
        <w:spacing w:before="0" w:after="0"/>
        <w:jc w:val="center"/>
        <w:rPr>
          <w:rFonts w:ascii="Times New Roman"/>
          <w:color w:val="000000" w:themeColor="text1"/>
          <w:sz w:val="30"/>
          <w14:textFill>
            <w14:solidFill>
              <w14:schemeClr w14:val="tx1"/>
            </w14:solidFill>
          </w14:textFill>
        </w:rPr>
      </w:pPr>
      <w:bookmarkStart w:id="341" w:name="_Toc24601"/>
      <w:bookmarkStart w:id="342" w:name="_Toc13987"/>
      <w:bookmarkStart w:id="343" w:name="_Toc12105"/>
      <w:bookmarkStart w:id="344" w:name="_Toc32227"/>
      <w:bookmarkStart w:id="345" w:name="_Toc32041"/>
      <w:bookmarkStart w:id="346" w:name="_Toc3365"/>
      <w:bookmarkStart w:id="347" w:name="_Toc104716703"/>
      <w:bookmarkStart w:id="348" w:name="_Toc19706"/>
      <w:bookmarkStart w:id="349" w:name="_Toc19752"/>
      <w:bookmarkStart w:id="350" w:name="_Toc15779"/>
      <w:r>
        <w:rPr>
          <w:rFonts w:ascii="Times New Roman"/>
          <w:color w:val="000000" w:themeColor="text1"/>
          <w:sz w:val="30"/>
          <w14:textFill>
            <w14:solidFill>
              <w14:schemeClr w14:val="tx1"/>
            </w14:solidFill>
          </w14:textFill>
        </w:rPr>
        <w:t>第十</w:t>
      </w:r>
      <w:r>
        <w:rPr>
          <w:rFonts w:hint="eastAsia" w:ascii="Times New Roman"/>
          <w:color w:val="000000" w:themeColor="text1"/>
          <w:sz w:val="30"/>
          <w14:textFill>
            <w14:solidFill>
              <w14:schemeClr w14:val="tx1"/>
            </w14:solidFill>
          </w14:textFill>
        </w:rPr>
        <w:t>七</w:t>
      </w:r>
      <w:r>
        <w:rPr>
          <w:rFonts w:ascii="Times New Roman"/>
          <w:color w:val="000000" w:themeColor="text1"/>
          <w:sz w:val="30"/>
          <w14:textFill>
            <w14:solidFill>
              <w14:schemeClr w14:val="tx1"/>
            </w14:solidFill>
          </w14:textFill>
        </w:rPr>
        <w:t>部分  基金费用与税收</w:t>
      </w:r>
      <w:bookmarkEnd w:id="334"/>
      <w:bookmarkEnd w:id="335"/>
      <w:bookmarkEnd w:id="336"/>
      <w:bookmarkEnd w:id="341"/>
      <w:bookmarkEnd w:id="342"/>
      <w:bookmarkEnd w:id="343"/>
      <w:bookmarkEnd w:id="344"/>
      <w:bookmarkEnd w:id="345"/>
      <w:bookmarkEnd w:id="346"/>
      <w:bookmarkEnd w:id="347"/>
      <w:bookmarkEnd w:id="348"/>
      <w:bookmarkEnd w:id="349"/>
      <w:bookmarkEnd w:id="350"/>
    </w:p>
    <w:p>
      <w:pPr>
        <w:spacing w:line="360" w:lineRule="auto"/>
        <w:ind w:firstLine="480" w:firstLineChars="200"/>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一、基金费用的种类</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1、基金管理人的管理费；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2、基金托管人的托管费；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3、《基金合同》生效后与基金相关的信息披露费用</w:t>
      </w:r>
      <w:r>
        <w:rPr>
          <w:rFonts w:hint="eastAsia"/>
          <w:bCs/>
          <w:color w:val="000000" w:themeColor="text1"/>
          <w:sz w:val="24"/>
          <w14:textFill>
            <w14:solidFill>
              <w14:schemeClr w14:val="tx1"/>
            </w14:solidFill>
          </w14:textFill>
        </w:rPr>
        <w:t>，法律法规、中国证监会另有规定的除外</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w:t>
      </w:r>
      <w:r>
        <w:rPr>
          <w:bCs/>
          <w:color w:val="000000" w:themeColor="text1"/>
          <w:sz w:val="24"/>
          <w14:textFill>
            <w14:solidFill>
              <w14:schemeClr w14:val="tx1"/>
            </w14:solidFill>
          </w14:textFill>
        </w:rPr>
        <w:t>、《基金合同》生效后与基金相关的会计师费、律师费</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诉讼费</w:t>
      </w:r>
      <w:r>
        <w:rPr>
          <w:rFonts w:hint="eastAsia"/>
          <w:bCs/>
          <w:color w:val="000000" w:themeColor="text1"/>
          <w:sz w:val="24"/>
          <w14:textFill>
            <w14:solidFill>
              <w14:schemeClr w14:val="tx1"/>
            </w14:solidFill>
          </w14:textFill>
        </w:rPr>
        <w:t>和仲裁费</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w:t>
      </w:r>
      <w:r>
        <w:rPr>
          <w:bCs/>
          <w:color w:val="000000" w:themeColor="text1"/>
          <w:sz w:val="24"/>
          <w14:textFill>
            <w14:solidFill>
              <w14:schemeClr w14:val="tx1"/>
            </w14:solidFill>
          </w14:textFill>
        </w:rPr>
        <w:t>、基金份额持有人大会费用；</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w:t>
      </w:r>
      <w:r>
        <w:rPr>
          <w:bCs/>
          <w:color w:val="000000" w:themeColor="text1"/>
          <w:sz w:val="24"/>
          <w14:textFill>
            <w14:solidFill>
              <w14:schemeClr w14:val="tx1"/>
            </w14:solidFill>
          </w14:textFill>
        </w:rPr>
        <w:t>、基金的证券</w:t>
      </w:r>
      <w:r>
        <w:rPr>
          <w:rFonts w:hint="eastAsia"/>
          <w:color w:val="000000" w:themeColor="text1"/>
          <w:szCs w:val="21"/>
          <w14:textFill>
            <w14:solidFill>
              <w14:schemeClr w14:val="tx1"/>
            </w14:solidFill>
          </w14:textFill>
        </w:rPr>
        <w:t>、</w:t>
      </w:r>
      <w:r>
        <w:rPr>
          <w:rFonts w:hint="eastAsia"/>
          <w:bCs/>
          <w:color w:val="000000" w:themeColor="text1"/>
          <w:sz w:val="24"/>
          <w14:textFill>
            <w14:solidFill>
              <w14:schemeClr w14:val="tx1"/>
            </w14:solidFill>
          </w14:textFill>
        </w:rPr>
        <w:t>期货、信用衍生品</w:t>
      </w:r>
      <w:r>
        <w:rPr>
          <w:bCs/>
          <w:color w:val="000000" w:themeColor="text1"/>
          <w:sz w:val="24"/>
          <w14:textFill>
            <w14:solidFill>
              <w14:schemeClr w14:val="tx1"/>
            </w14:solidFill>
          </w14:textFill>
        </w:rPr>
        <w:t>交易费用；</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w:t>
      </w:r>
      <w:r>
        <w:rPr>
          <w:bCs/>
          <w:color w:val="000000" w:themeColor="text1"/>
          <w:sz w:val="24"/>
          <w14:textFill>
            <w14:solidFill>
              <w14:schemeClr w14:val="tx1"/>
            </w14:solidFill>
          </w14:textFill>
        </w:rPr>
        <w:t>、基金的银行汇划费用</w:t>
      </w:r>
      <w:r>
        <w:rPr>
          <w:rFonts w:hint="eastAsia"/>
          <w:bCs/>
          <w:color w:val="000000" w:themeColor="text1"/>
          <w:sz w:val="24"/>
          <w14:textFill>
            <w14:solidFill>
              <w14:schemeClr w14:val="tx1"/>
            </w14:solidFill>
          </w14:textFill>
        </w:rPr>
        <w:t>、账户开户及维护费用</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基金上市</w:t>
      </w:r>
      <w:r>
        <w:rPr>
          <w:rFonts w:hint="eastAsia"/>
          <w:bCs/>
          <w:color w:val="000000" w:themeColor="text1"/>
          <w:sz w:val="24"/>
          <w:lang w:val="en-US" w:eastAsia="zh-CN"/>
          <w14:textFill>
            <w14:solidFill>
              <w14:schemeClr w14:val="tx1"/>
            </w14:solidFill>
          </w14:textFill>
        </w:rPr>
        <w:t>初</w:t>
      </w:r>
      <w:r>
        <w:rPr>
          <w:rFonts w:hint="eastAsia"/>
          <w:bCs/>
          <w:color w:val="000000" w:themeColor="text1"/>
          <w:sz w:val="24"/>
          <w14:textFill>
            <w14:solidFill>
              <w14:schemeClr w14:val="tx1"/>
            </w14:solidFill>
          </w14:textFill>
        </w:rPr>
        <w:t>费及年费、注册登记费用、IOPV 计算与发布费用（如有）、收益分配中发生的费用；</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9</w:t>
      </w:r>
      <w:r>
        <w:rPr>
          <w:bCs/>
          <w:color w:val="000000" w:themeColor="text1"/>
          <w:sz w:val="24"/>
          <w14:textFill>
            <w14:solidFill>
              <w14:schemeClr w14:val="tx1"/>
            </w14:solidFill>
          </w14:textFill>
        </w:rPr>
        <w:t>、按照国家有关规定和《基金合同》约定，可以在基金财产中列支的其他费用。</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二、基金费用计提方法、计提标准和支付方式</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1、基金管理人的管理费 </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本基金的管理费按前一日</w:t>
      </w:r>
      <w:bookmarkStart w:id="483" w:name="_GoBack"/>
      <w:bookmarkEnd w:id="483"/>
      <w:r>
        <w:rPr>
          <w:bCs/>
          <w:color w:val="000000" w:themeColor="text1"/>
          <w:sz w:val="24"/>
          <w14:textFill>
            <w14:solidFill>
              <w14:schemeClr w14:val="tx1"/>
            </w14:solidFill>
          </w14:textFill>
        </w:rPr>
        <w:t>基金资产净值的</w:t>
      </w:r>
      <w:r>
        <w:rPr>
          <w:rFonts w:hint="eastAsia"/>
          <w:bCs/>
          <w:color w:val="000000" w:themeColor="text1"/>
          <w:sz w:val="24"/>
          <w14:textFill>
            <w14:solidFill>
              <w14:schemeClr w14:val="tx1"/>
            </w14:solidFill>
          </w14:textFill>
        </w:rPr>
        <w:t>0.</w:t>
      </w:r>
      <w:r>
        <w:rPr>
          <w:bCs/>
          <w:color w:val="000000" w:themeColor="text1"/>
          <w:sz w:val="24"/>
          <w14:textFill>
            <w14:solidFill>
              <w14:schemeClr w14:val="tx1"/>
            </w14:solidFill>
          </w14:textFill>
        </w:rPr>
        <w:t>15%年费率计提。管理费的计算方法如下：</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H＝E×</w:t>
      </w:r>
      <w:r>
        <w:rPr>
          <w:rFonts w:hint="eastAsia"/>
          <w:bCs/>
          <w:color w:val="000000" w:themeColor="text1"/>
          <w:sz w:val="24"/>
          <w14:textFill>
            <w14:solidFill>
              <w14:schemeClr w14:val="tx1"/>
            </w14:solidFill>
          </w14:textFill>
        </w:rPr>
        <w:t>0.</w:t>
      </w:r>
      <w:r>
        <w:rPr>
          <w:bCs/>
          <w:color w:val="000000" w:themeColor="text1"/>
          <w:sz w:val="24"/>
          <w14:textFill>
            <w14:solidFill>
              <w14:schemeClr w14:val="tx1"/>
            </w14:solidFill>
          </w14:textFill>
        </w:rPr>
        <w:t>15%÷当年天数</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H为每日应计提的基金管理费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E为前一日的基金资产净值</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基金管理费每日计提，逐日累计至每月月末，按月支付，由托管人根据与管理人核对一致的财务数据，自动在月初</w:t>
      </w:r>
      <w:r>
        <w:rPr>
          <w:bCs/>
          <w:color w:val="000000" w:themeColor="text1"/>
          <w:sz w:val="24"/>
          <w14:textFill>
            <w14:solidFill>
              <w14:schemeClr w14:val="tx1"/>
            </w14:solidFill>
          </w14:textFill>
        </w:rPr>
        <w:t>5</w:t>
      </w:r>
      <w:r>
        <w:rPr>
          <w:rFonts w:hint="eastAsia"/>
          <w:bCs/>
          <w:color w:val="000000" w:themeColor="text1"/>
          <w:sz w:val="24"/>
          <w14:textFill>
            <w14:solidFill>
              <w14:schemeClr w14:val="tx1"/>
            </w14:solidFill>
          </w14:textFill>
        </w:rPr>
        <w:t>个工作日内、按照指定的账户路径进行资金支付，管理人无需再出具资金划拨指令。若遇法定节假日、休息日或不可抗力致使无法按时支付的，支付日期顺延。费用自动扣划后，管理人应进行核对，如发现数据不符，及时联系托管人协商解决。</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2、基金托管人的托管费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本基金的托管费按前一日基金资产净值的</w:t>
      </w:r>
      <w:r>
        <w:rPr>
          <w:rFonts w:hint="eastAsia"/>
          <w:bCs/>
          <w:color w:val="000000" w:themeColor="text1"/>
          <w:sz w:val="24"/>
          <w14:textFill>
            <w14:solidFill>
              <w14:schemeClr w14:val="tx1"/>
            </w14:solidFill>
          </w14:textFill>
        </w:rPr>
        <w:t>0.</w:t>
      </w:r>
      <w:r>
        <w:rPr>
          <w:bCs/>
          <w:color w:val="000000" w:themeColor="text1"/>
          <w:sz w:val="24"/>
          <w14:textFill>
            <w14:solidFill>
              <w14:schemeClr w14:val="tx1"/>
            </w14:solidFill>
          </w14:textFill>
        </w:rPr>
        <w:t>05%的年费率计提。托管费的计算方法如下：</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H＝E×</w:t>
      </w:r>
      <w:r>
        <w:rPr>
          <w:rFonts w:hint="eastAsia"/>
          <w:bCs/>
          <w:color w:val="000000" w:themeColor="text1"/>
          <w:sz w:val="24"/>
          <w14:textFill>
            <w14:solidFill>
              <w14:schemeClr w14:val="tx1"/>
            </w14:solidFill>
          </w14:textFill>
        </w:rPr>
        <w:t>0.</w:t>
      </w:r>
      <w:r>
        <w:rPr>
          <w:bCs/>
          <w:color w:val="000000" w:themeColor="text1"/>
          <w:sz w:val="24"/>
          <w14:textFill>
            <w14:solidFill>
              <w14:schemeClr w14:val="tx1"/>
            </w14:solidFill>
          </w14:textFill>
        </w:rPr>
        <w:t>05%÷当年天数</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H为每日应计提的基金托管费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E为前一日的基金资产净值</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基金托管费每日计提，逐日累计至每月月末，按月支付，由托管人根据与管理人核对一致的财务数据，自动在月初</w:t>
      </w:r>
      <w:r>
        <w:rPr>
          <w:bCs/>
          <w:color w:val="000000" w:themeColor="text1"/>
          <w:sz w:val="24"/>
          <w14:textFill>
            <w14:solidFill>
              <w14:schemeClr w14:val="tx1"/>
            </w14:solidFill>
          </w14:textFill>
        </w:rPr>
        <w:t>5</w:t>
      </w:r>
      <w:r>
        <w:rPr>
          <w:rFonts w:hint="eastAsia"/>
          <w:bCs/>
          <w:color w:val="000000" w:themeColor="text1"/>
          <w:sz w:val="24"/>
          <w14:textFill>
            <w14:solidFill>
              <w14:schemeClr w14:val="tx1"/>
            </w14:solidFill>
          </w14:textFill>
        </w:rPr>
        <w:t>个工作日内、按照指定的账户路径进行资金支付，管理人无需再出具资金划拨指令。若遇法定节假日、休息日或不可抗力致使无法按时支付的，支付日期顺延。费用自动扣划后，管理人应进行核对，如发现数据不符，及时联系托管人协商解决。</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上述</w:t>
      </w:r>
      <w:r>
        <w:rPr>
          <w:rFonts w:ascii="宋体" w:hAnsi="宋体" w:cs="宋体"/>
          <w:bCs/>
          <w:color w:val="000000" w:themeColor="text1"/>
          <w:sz w:val="24"/>
          <w14:textFill>
            <w14:solidFill>
              <w14:schemeClr w14:val="tx1"/>
            </w14:solidFill>
          </w14:textFill>
        </w:rPr>
        <w:t>“</w:t>
      </w:r>
      <w:r>
        <w:rPr>
          <w:bCs/>
          <w:color w:val="000000" w:themeColor="text1"/>
          <w:sz w:val="24"/>
          <w14:textFill>
            <w14:solidFill>
              <w14:schemeClr w14:val="tx1"/>
            </w14:solidFill>
          </w14:textFill>
        </w:rPr>
        <w:t>一、基金费用的种类</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中第3－9项费用，根据有关法规及相应协议规定，按费用实际支出金额列入当期费用，由基金托管人从基金财产中支付。</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w:t>
      </w:r>
      <w:r>
        <w:rPr>
          <w:bCs/>
          <w:color w:val="000000" w:themeColor="text1"/>
          <w:sz w:val="24"/>
          <w14:textFill>
            <w14:solidFill>
              <w14:schemeClr w14:val="tx1"/>
            </w14:solidFill>
          </w14:textFill>
        </w:rPr>
        <w:t>、不列入基金费用的项目</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下列费用不列入基金费用：</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1、基金管理人和基金托管人因未履行或未完全履行义务导致的费用支出或基金财产的损失；</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2、基金管理人和基金托管人处理与基金运作无关的事项发生的费用；</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3、《基金合同》生效前的相关费用；</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4、标的指数许可使用费。标的指数许可使用费由基金管理人承担，不得从基金财产中列支；</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w:t>
      </w:r>
      <w:r>
        <w:rPr>
          <w:bCs/>
          <w:color w:val="000000" w:themeColor="text1"/>
          <w:sz w:val="24"/>
          <w14:textFill>
            <w14:solidFill>
              <w14:schemeClr w14:val="tx1"/>
            </w14:solidFill>
          </w14:textFill>
        </w:rPr>
        <w:t>、其他根据相关法律法规及中国证监会的有关规定不得列入基金费用的项目。</w:t>
      </w:r>
      <w:bookmarkStart w:id="351" w:name="_Hlt88827255"/>
      <w:bookmarkEnd w:id="351"/>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四</w:t>
      </w:r>
      <w:r>
        <w:rPr>
          <w:bCs/>
          <w:color w:val="000000" w:themeColor="text1"/>
          <w:sz w:val="24"/>
          <w14:textFill>
            <w14:solidFill>
              <w14:schemeClr w14:val="tx1"/>
            </w14:solidFill>
          </w14:textFill>
        </w:rPr>
        <w:t>、基金税收</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本基金运作过程中涉及的各纳税主体，其纳税义务按国家税收法律、法规执行。</w:t>
      </w:r>
      <w:r>
        <w:rPr>
          <w:color w:val="000000" w:themeColor="text1"/>
          <w:sz w:val="24"/>
          <w14:textFill>
            <w14:solidFill>
              <w14:schemeClr w14:val="tx1"/>
            </w14:solidFill>
          </w14:textFill>
        </w:rPr>
        <w:t>基金财产投资的相关税收，由基金份额持有人承担，基金管理人或者其他扣缴义务人按照国家有关税收征收的规定代扣代缴。</w:t>
      </w:r>
    </w:p>
    <w:p>
      <w:pPr>
        <w:pStyle w:val="2"/>
        <w:spacing w:before="0" w:after="0"/>
        <w:jc w:val="center"/>
        <w:rPr>
          <w:rFonts w:ascii="Times New Roman"/>
          <w:color w:val="000000" w:themeColor="text1"/>
          <w:sz w:val="30"/>
          <w14:textFill>
            <w14:solidFill>
              <w14:schemeClr w14:val="tx1"/>
            </w14:solidFill>
          </w14:textFill>
        </w:rPr>
      </w:pPr>
      <w:bookmarkStart w:id="352" w:name="_Toc93226149"/>
      <w:bookmarkStart w:id="353" w:name="_Toc92662707"/>
      <w:bookmarkStart w:id="354" w:name="_Toc141703896"/>
      <w:bookmarkStart w:id="355" w:name="_Toc139991746"/>
      <w:bookmarkStart w:id="356" w:name="_Toc128310499"/>
      <w:bookmarkStart w:id="357" w:name="_Toc22552"/>
      <w:r>
        <w:rPr>
          <w:rFonts w:ascii="Times New Roman"/>
          <w:b w:val="0"/>
          <w:bCs/>
          <w:color w:val="000000" w:themeColor="text1"/>
          <w:sz w:val="30"/>
          <w14:textFill>
            <w14:solidFill>
              <w14:schemeClr w14:val="tx1"/>
            </w14:solidFill>
          </w14:textFill>
        </w:rPr>
        <w:br w:type="page"/>
      </w:r>
      <w:bookmarkStart w:id="358" w:name="_Toc25883"/>
      <w:bookmarkStart w:id="359" w:name="_Toc21829"/>
      <w:bookmarkStart w:id="360" w:name="_Toc19558"/>
      <w:bookmarkStart w:id="361" w:name="_Toc20052"/>
      <w:bookmarkStart w:id="362" w:name="_Toc15525"/>
      <w:bookmarkStart w:id="363" w:name="_Toc1617"/>
      <w:bookmarkStart w:id="364" w:name="_Toc3656"/>
      <w:bookmarkStart w:id="365" w:name="_Toc12761"/>
      <w:bookmarkStart w:id="366" w:name="_Toc104716704"/>
      <w:bookmarkStart w:id="367" w:name="_Toc178"/>
      <w:r>
        <w:rPr>
          <w:rFonts w:ascii="Times New Roman"/>
          <w:color w:val="000000" w:themeColor="text1"/>
          <w:sz w:val="30"/>
          <w14:textFill>
            <w14:solidFill>
              <w14:schemeClr w14:val="tx1"/>
            </w14:solidFill>
          </w14:textFill>
        </w:rPr>
        <w:t>第十</w:t>
      </w:r>
      <w:r>
        <w:rPr>
          <w:rFonts w:hint="eastAsia" w:ascii="Times New Roman"/>
          <w:color w:val="000000" w:themeColor="text1"/>
          <w:sz w:val="30"/>
          <w14:textFill>
            <w14:solidFill>
              <w14:schemeClr w14:val="tx1"/>
            </w14:solidFill>
          </w14:textFill>
        </w:rPr>
        <w:t>八</w:t>
      </w:r>
      <w:r>
        <w:rPr>
          <w:rFonts w:ascii="Times New Roman"/>
          <w:color w:val="000000" w:themeColor="text1"/>
          <w:sz w:val="30"/>
          <w14:textFill>
            <w14:solidFill>
              <w14:schemeClr w14:val="tx1"/>
            </w14:solidFill>
          </w14:textFill>
        </w:rPr>
        <w:t>部分  基金</w:t>
      </w:r>
      <w:bookmarkEnd w:id="352"/>
      <w:bookmarkEnd w:id="353"/>
      <w:r>
        <w:rPr>
          <w:rFonts w:ascii="Times New Roman"/>
          <w:color w:val="000000" w:themeColor="text1"/>
          <w:sz w:val="30"/>
          <w14:textFill>
            <w14:solidFill>
              <w14:schemeClr w14:val="tx1"/>
            </w14:solidFill>
          </w14:textFill>
        </w:rPr>
        <w:t>的收益与分配</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rPr>
          <w:bCs/>
          <w:color w:val="000000" w:themeColor="text1"/>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基金收益分配原则</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1、每一基金份额享有同等分配权；</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2、本基金基金份额的收益分配方式采用现金分红；</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基金管理人每个自然季度对基金相对业绩比较基准的超额收益率以及基金的可供分配利润进行评价，在基金收益评价日，基金管理人对基金相对业绩比较基准的超额收益率以及基金的可供分配利润进行评价。收益评价日核定的基金份额净值增长率超过业绩比较基准同期增长率或者基金可供分配利润金额大于零时，基金管理人可以进行收益分配，每次收益分配方案见基金管理人届时发布的相关公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5、若《基金合同》生效不满</w:t>
      </w:r>
      <w:r>
        <w:rPr>
          <w:color w:val="000000" w:themeColor="text1"/>
          <w:sz w:val="24"/>
          <w:szCs w:val="24"/>
          <w14:textFill>
            <w14:solidFill>
              <w14:schemeClr w14:val="tx1"/>
            </w14:solidFill>
          </w14:textFill>
        </w:rPr>
        <w:t xml:space="preserve"> 3 </w:t>
      </w:r>
      <w:r>
        <w:rPr>
          <w:rFonts w:hint="eastAsia"/>
          <w:color w:val="000000" w:themeColor="text1"/>
          <w:sz w:val="24"/>
          <w:szCs w:val="24"/>
          <w14:textFill>
            <w14:solidFill>
              <w14:schemeClr w14:val="tx1"/>
            </w14:solidFill>
          </w14:textFill>
        </w:rPr>
        <w:t>个月可不进行收益分配；</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6、法律法规或监管机关另有规定的，从其规定。证券交易所或基金登记机构对基金份额收益分配另有规定的，从其规定。</w:t>
      </w:r>
    </w:p>
    <w:p>
      <w:pPr>
        <w:spacing w:line="360" w:lineRule="auto"/>
        <w:ind w:firstLine="480" w:firstLineChars="200"/>
        <w:rPr>
          <w:color w:val="000000" w:themeColor="text1"/>
          <w:sz w:val="24"/>
          <w:szCs w:val="24"/>
          <w14:textFill>
            <w14:solidFill>
              <w14:schemeClr w14:val="tx1"/>
            </w14:solidFill>
          </w14:textFill>
        </w:rPr>
      </w:pPr>
      <w:bookmarkStart w:id="368" w:name="_Hlk177991480"/>
      <w:r>
        <w:rPr>
          <w:rFonts w:hint="eastAsia"/>
          <w:color w:val="000000" w:themeColor="text1"/>
          <w:sz w:val="24"/>
          <w:szCs w:val="24"/>
          <w14:textFill>
            <w14:solidFill>
              <w14:schemeClr w14:val="tx1"/>
            </w14:solidFill>
          </w14:textFill>
        </w:rPr>
        <w:t>在不违反法律法规和监管部门的规定，且对基金份额持有人利益无实质不利影响的前提下，基金管理人在与基金托管人协商一致并按照监管部门要求履行适当程序后可对基金收益分配原则进行调整，不需召开基金份额持有人大会，但应于变更实施日前在规定媒介公告。本基金每次收益分配比例详见届时基金管理人发布的公告</w:t>
      </w:r>
      <w:bookmarkEnd w:id="368"/>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二、收益分配方案</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基金收益分配方案中应载明截至收益分配基准日的基金收益分配对象、分配时间、分配数额及比例、分配方式等内容。</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三、收益分配方案的确定、公告与实施</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本基金收益分配方案由基金管理人拟定，并由基金托管人复核，依照《信息披露办法》的有关规定在规定媒介公告。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法律法规或监管机关另有规定的，从其规定。</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四、基金收益分配中发生的费用</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基金收益分配时所发生的银行转账或其他手续费用由投资者自行承担。</w:t>
      </w:r>
    </w:p>
    <w:p>
      <w:pPr>
        <w:spacing w:line="360" w:lineRule="auto"/>
        <w:ind w:firstLine="540" w:firstLineChars="225"/>
        <w:rPr>
          <w:bCs/>
          <w:color w:val="000000" w:themeColor="text1"/>
          <w:sz w:val="24"/>
          <w14:textFill>
            <w14:solidFill>
              <w14:schemeClr w14:val="tx1"/>
            </w14:solidFill>
          </w14:textFill>
        </w:rPr>
      </w:pPr>
    </w:p>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kern w:val="44"/>
          <w:sz w:val="21"/>
          <w14:textFill>
            <w14:solidFill>
              <w14:schemeClr w14:val="tx1"/>
            </w14:solidFill>
          </w14:textFill>
        </w:rPr>
        <w:br w:type="page"/>
      </w:r>
      <w:bookmarkStart w:id="369" w:name="_Toc93226150"/>
      <w:bookmarkStart w:id="370" w:name="_Toc92662708"/>
      <w:bookmarkStart w:id="371" w:name="_Toc1043"/>
      <w:bookmarkStart w:id="372" w:name="_Toc13255"/>
      <w:bookmarkStart w:id="373" w:name="_Toc18007"/>
      <w:bookmarkStart w:id="374" w:name="_Toc17499"/>
      <w:bookmarkStart w:id="375" w:name="_Toc141703897"/>
      <w:bookmarkStart w:id="376" w:name="_Toc31736"/>
      <w:bookmarkStart w:id="377" w:name="_Toc21206"/>
      <w:bookmarkStart w:id="378" w:name="_Toc128310500"/>
      <w:bookmarkStart w:id="379" w:name="_Toc29695"/>
      <w:bookmarkStart w:id="380" w:name="_Toc28961"/>
      <w:bookmarkStart w:id="381" w:name="_Toc10894"/>
      <w:bookmarkStart w:id="382" w:name="_Toc139991747"/>
      <w:bookmarkStart w:id="383" w:name="_Toc23859"/>
      <w:bookmarkStart w:id="384" w:name="_Toc104716705"/>
      <w:r>
        <w:rPr>
          <w:rFonts w:ascii="Times New Roman"/>
          <w:color w:val="000000" w:themeColor="text1"/>
          <w:sz w:val="30"/>
          <w14:textFill>
            <w14:solidFill>
              <w14:schemeClr w14:val="tx1"/>
            </w14:solidFill>
          </w14:textFill>
        </w:rPr>
        <w:t>第十</w:t>
      </w:r>
      <w:r>
        <w:rPr>
          <w:rFonts w:hint="eastAsia" w:ascii="Times New Roman"/>
          <w:color w:val="000000" w:themeColor="text1"/>
          <w:sz w:val="30"/>
          <w14:textFill>
            <w14:solidFill>
              <w14:schemeClr w14:val="tx1"/>
            </w14:solidFill>
          </w14:textFill>
        </w:rPr>
        <w:t>九</w:t>
      </w:r>
      <w:r>
        <w:rPr>
          <w:rFonts w:ascii="Times New Roman"/>
          <w:color w:val="000000" w:themeColor="text1"/>
          <w:sz w:val="30"/>
          <w14:textFill>
            <w14:solidFill>
              <w14:schemeClr w14:val="tx1"/>
            </w14:solidFill>
          </w14:textFill>
        </w:rPr>
        <w:t>部分  基金</w:t>
      </w:r>
      <w:bookmarkEnd w:id="369"/>
      <w:bookmarkEnd w:id="370"/>
      <w:r>
        <w:rPr>
          <w:rFonts w:ascii="Times New Roman"/>
          <w:color w:val="000000" w:themeColor="text1"/>
          <w:sz w:val="30"/>
          <w14:textFill>
            <w14:solidFill>
              <w14:schemeClr w14:val="tx1"/>
            </w14:solidFill>
          </w14:textFill>
        </w:rPr>
        <w:t>的会计与审计</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spacing w:line="360" w:lineRule="auto"/>
        <w:ind w:firstLine="480" w:firstLineChars="200"/>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一、基金会计政策</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1、基金管理人为本基金的基金会计责任方；</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2、基金的会计年度为公历年度的1月1日至12月31日；基金首次募集的会计年度按如下原则：如果《基金合同》生效少于2个月，可以并入下一个会计年度</w:t>
      </w:r>
      <w:r>
        <w:rPr>
          <w:rFonts w:hint="eastAsia"/>
          <w:bCs/>
          <w:color w:val="000000" w:themeColor="text1"/>
          <w:sz w:val="24"/>
          <w14:textFill>
            <w14:solidFill>
              <w14:schemeClr w14:val="tx1"/>
            </w14:solidFill>
          </w14:textFill>
        </w:rPr>
        <w:t>披露</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3、基金核算以人民币为记账本位币，以人民币元为记账单位；</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4、会计制度执行国家有关会计制度；</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5、本基金独立建账、独立核算；</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6、基金管理人及基金托管人各自保留完整的会计账目、凭证并进行日常的会计核算，按照有关规定编制基金会计报表；</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7、基金托管人每月与基金管理人就基金的会计核算、报表编制等进行核对并以书面方式确认。</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二、基金的年度审计</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1、基金管理人聘请与基金管理人、基金托管人相互独立的</w:t>
      </w:r>
      <w:r>
        <w:rPr>
          <w:rFonts w:hint="eastAsia"/>
          <w:bCs/>
          <w:color w:val="000000" w:themeColor="text1"/>
          <w:sz w:val="24"/>
          <w14:textFill>
            <w14:solidFill>
              <w14:schemeClr w14:val="tx1"/>
            </w14:solidFill>
          </w14:textFill>
        </w:rPr>
        <w:t>符合《中华人民共和国证券法》规定的</w:t>
      </w:r>
      <w:r>
        <w:rPr>
          <w:bCs/>
          <w:color w:val="000000" w:themeColor="text1"/>
          <w:sz w:val="24"/>
          <w14:textFill>
            <w14:solidFill>
              <w14:schemeClr w14:val="tx1"/>
            </w14:solidFill>
          </w14:textFill>
        </w:rPr>
        <w:t>会计师事务所及其注册会计师对本基金的年度财务报表进行审计。</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2、会计师事务所更换经办注册会计师，应事先征得基金管理人同意。</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bookmarkStart w:id="385" w:name="_Hlt4221115"/>
      <w:bookmarkEnd w:id="385"/>
      <w:r>
        <w:rPr>
          <w:bCs/>
          <w:color w:val="000000" w:themeColor="text1"/>
          <w:sz w:val="24"/>
          <w14:textFill>
            <w14:solidFill>
              <w14:schemeClr w14:val="tx1"/>
            </w14:solidFill>
          </w14:textFill>
        </w:rPr>
        <w:t>基金管理人认为有充足理由更换会计师事务所，须通报基金托管人。更换会计师事务所需</w:t>
      </w:r>
      <w:r>
        <w:rPr>
          <w:rFonts w:hint="eastAsia"/>
          <w:bCs/>
          <w:color w:val="000000" w:themeColor="text1"/>
          <w:sz w:val="24"/>
          <w14:textFill>
            <w14:solidFill>
              <w14:schemeClr w14:val="tx1"/>
            </w14:solidFill>
          </w14:textFill>
        </w:rPr>
        <w:t>按照《信息披露办法》的有关规定在规定媒介公告</w:t>
      </w:r>
      <w:r>
        <w:rPr>
          <w:bCs/>
          <w:color w:val="000000" w:themeColor="text1"/>
          <w:sz w:val="24"/>
          <w14:textFill>
            <w14:solidFill>
              <w14:schemeClr w14:val="tx1"/>
            </w14:solidFill>
          </w14:textFill>
        </w:rPr>
        <w:t>。</w:t>
      </w:r>
    </w:p>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14:textFill>
            <w14:solidFill>
              <w14:schemeClr w14:val="tx1"/>
            </w14:solidFill>
          </w14:textFill>
        </w:rPr>
        <w:br w:type="page"/>
      </w:r>
      <w:bookmarkStart w:id="386" w:name="_Toc93226151"/>
      <w:bookmarkStart w:id="387" w:name="_Toc92662709"/>
      <w:bookmarkStart w:id="388" w:name="_Toc3056"/>
      <w:bookmarkStart w:id="389" w:name="_Toc8512"/>
      <w:bookmarkStart w:id="390" w:name="_Toc1173"/>
      <w:bookmarkStart w:id="391" w:name="_Toc141703898"/>
      <w:bookmarkStart w:id="392" w:name="_Toc193"/>
      <w:bookmarkStart w:id="393" w:name="_Toc128310501"/>
      <w:bookmarkStart w:id="394" w:name="_Toc31866"/>
      <w:bookmarkStart w:id="395" w:name="_Toc12028"/>
      <w:bookmarkStart w:id="396" w:name="_Toc139991748"/>
      <w:bookmarkStart w:id="397" w:name="_Toc11049"/>
      <w:bookmarkStart w:id="398" w:name="_Toc1421"/>
      <w:bookmarkStart w:id="399" w:name="_Toc11802"/>
      <w:bookmarkStart w:id="400" w:name="_Toc29289"/>
      <w:bookmarkStart w:id="401" w:name="_Toc104716706"/>
      <w:r>
        <w:rPr>
          <w:rFonts w:ascii="Times New Roman"/>
          <w:color w:val="000000" w:themeColor="text1"/>
          <w:sz w:val="30"/>
          <w14:textFill>
            <w14:solidFill>
              <w14:schemeClr w14:val="tx1"/>
            </w14:solidFill>
          </w14:textFill>
        </w:rPr>
        <w:t>第</w:t>
      </w:r>
      <w:r>
        <w:rPr>
          <w:rFonts w:hint="eastAsia" w:ascii="Times New Roman"/>
          <w:color w:val="000000" w:themeColor="text1"/>
          <w:sz w:val="30"/>
          <w14:textFill>
            <w14:solidFill>
              <w14:schemeClr w14:val="tx1"/>
            </w14:solidFill>
          </w14:textFill>
        </w:rPr>
        <w:t>二十</w:t>
      </w:r>
      <w:r>
        <w:rPr>
          <w:rFonts w:ascii="Times New Roman"/>
          <w:color w:val="000000" w:themeColor="text1"/>
          <w:sz w:val="30"/>
          <w14:textFill>
            <w14:solidFill>
              <w14:schemeClr w14:val="tx1"/>
            </w14:solidFill>
          </w14:textFill>
        </w:rPr>
        <w:t>部分  基金</w:t>
      </w:r>
      <w:bookmarkEnd w:id="386"/>
      <w:bookmarkEnd w:id="387"/>
      <w:r>
        <w:rPr>
          <w:rFonts w:ascii="Times New Roman"/>
          <w:color w:val="000000" w:themeColor="text1"/>
          <w:sz w:val="30"/>
          <w14:textFill>
            <w14:solidFill>
              <w14:schemeClr w14:val="tx1"/>
            </w14:solidFill>
          </w14:textFill>
        </w:rPr>
        <w:t>的信息披露</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pPr>
        <w:spacing w:line="360" w:lineRule="auto"/>
        <w:ind w:firstLine="480" w:firstLineChars="200"/>
        <w:rPr>
          <w:bCs/>
          <w:color w:val="000000" w:themeColor="text1"/>
          <w:sz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本基金的信息披露应符合《基金法》、《运作办法》、《信息披露办法》、《流动性风险管理规定》、基金合同及其他有关规定。相关法律法规关于信息披露的披露方式、登载媒介、报备方式等规定发生变化时，本基金从其最新规定。</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二、信息披露义务人</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本基金信息披露义务人包括基金管理人、基金托管人、召集基金份额持有人大会的基金份额持有人等法律法规和中国证监会规定的自然人、法人和非法人组织。</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本基金信息披露义务人以保护基金份额持有人利益为根本出发点，按照法律法规和中国证监会的规定披露基金信息，并保证所披露信息的真实性、准确性、完整性、及时性、简明性和易得性。</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信息披露义务人应当在中国证监会规定时间内，将应予披露的基金信息通过符合中国证监会规定条件的用以进行信息披露的全国性报刊（以下简称“规定报刊”）及《信息披露办法》规定的互联网网站（以下简称“规定网站”）等媒介披露，并保证基金投资人能够按照基金合同约定的时间和方式查阅或者复制公开披露的信息资料。</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三、本基金信息披露义务人承诺公开披露的基金信息，不得有下列行为：</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1、虚假记载、误导性陈述或者重大遗漏；</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2、对证券投资业绩进行预测；</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3、违规承诺收益或者承担损失；</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4、诋毁其他基金管理人、基金托管人或者基金销售机构；</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5、登载任何自然人、法人和非法人组织的祝贺性、恭维性或推荐性的文字；</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6、中国证监会禁止的其他行为。</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四、本基金公开披露的信息应采用中文文本。如同时采用外文文本的，基金信息披露义务人应保证不同文本的内容一致。不同文本之间发生歧义的，以中文文本为准。</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本基金公开披露的信息采用阿拉伯数字；除特别说明外，货币单位为人民币元。</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五、公开披露的基金信息</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公开披露的基金信息包括：</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（一）基金招募说明书、基金合同、基金托管协议、基金产品资料概要</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1、基金合同是界定基金合同当事人的各项权利、义务关系，明确基金份额持有人大会召开的规则及具体程序，说明基金产品的特性等涉及基金投资人重大利益的事项的法律文件。</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3、基金托管协议是界定基金托管人和基金管理人在基金财产保管及基金运作监督等活动中的权利、义务关系的法律文件。</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募集申请经中国证监会注册后，基金管理人在基金份额发售的三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（二）基金份额发售公告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基金管理人应当就基金份额发售的具体事宜编制基金份额发售公告，并在基金份额发售的三日前登载于规定媒介上。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（三）基金合同生效公告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基金管理人应当在收到中国证监会确认文件的次日在规定媒介上登载基金合同生效公告。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（四）基金净值信息</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基金合同生效后，在开始办理基金份额申购或者赎回前且基金未上市交易时，基金管理人应当至少每周在规定网站披露一次基金份额净值和基金份额累计净值。</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开始办理基金份额申购或者赎回或基金上市交易后，基金管理人应当在不晚于每个开放日/交易日的次日，通过规定网站、基金销售机构网站或者营业网点披露开放日/交易日的基金份额净值和基金份额累计净值。</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基金管理人应当在不晚于半年度和年度最后一日的次日，在规定网站披露半年度和年度最后一日的基金份额净值和基金份额累计净值。</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w:t>
      </w:r>
      <w:bookmarkStart w:id="402" w:name="_Hlk177991540"/>
      <w:r>
        <w:rPr>
          <w:rFonts w:hint="eastAsia"/>
          <w:color w:val="000000" w:themeColor="text1"/>
          <w:sz w:val="24"/>
          <w:szCs w:val="24"/>
          <w14:textFill>
            <w14:solidFill>
              <w14:schemeClr w14:val="tx1"/>
            </w14:solidFill>
          </w14:textFill>
        </w:rPr>
        <w:t>基金份额折算日和折算结果公告</w:t>
      </w:r>
      <w:bookmarkEnd w:id="402"/>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基金管理人确定基金份额折算日后应依照《信息披露办法》的有关规定将基金份额折算日公告登载于规定媒介上。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基金份额进行折算并由登记机构完成基金份额的变更登记后，基金管理人应按规定将基金份额折算结果公告登载于规定媒介上。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（六）基金份额上市交易公告书</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基金份额获准在证券交易所上市交易的，基金管理人应当在基金份额上市交易前至少3个工作日，将基金份额上市交易公告书登载在规定网站上，并将上市交易公告书提示性公告登载在规定报刊上。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（七）基金份额申购、赎回对价</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基金管理人应当在《基金合同》、招募说明书等信息披露文件上载明基金份额申购、赎回对价的计算方式及有关申购、赎回费率，并保证投资者能够在基金销售机构网站或营业网点查阅或者复制前述信息资料。</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（八）申购赎回清单</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在开始办理基金份额申购或者赎回之后，基金管理人应当在每个开放日，通过规定网站、申购赎回代理机构以及其他媒介公告当日的申购赎回清单。</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（九）基金定期报告，包括基金年度报告、基金中期报告和基金季度报告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基金管理人应当在上半年结束之日起两个月内，编制完成基金中期报告，将中期报告登载在规定网站上，并将中期报告提示性公告登载在规定报刊上。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基金管理人应当在季度结束之日起15个工作日内，编制完成基金季度报告，将季度报告登载在规定网站上，并将季度报告提示性公告登载在规定报刊上。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基金合同生效不足2个月的，基金管理人可以不编制当期季度报告、中期报告或者年度报告。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基金管理人应当在基金年度报告和中期报告中披露基金组合资产情况及其流动性风险分析等。</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（十）临时报告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本基金发生重大事件，有关信息披露义务人应当依照《信息披露办法》的有关规定编制临时报告书，并登载在规定报刊和规定网站上。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前款所称重大事件，是指可能对基金份额持有人权益或者基金份额的价格产生重大影响的下列事件：</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1、基金份额持有人大会的召开及决定的事项；</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2、基金合同终止、基金清算；</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3、转换基金运作方式、基金合并；</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4、更换基金管理人、基金托管人、登记机构，基金改聘会计师事务所；</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5、基金管理人委托基金服务机构代为办理基金的份额登记、核算、估值等事项，基金托管人委托基金服务机构代为办理基金的核算、估值、复核等事项；</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6、基金管理人、基金托管人的法定名称、住所发生变更；</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7、基金管理人变更持有百分之五以上股权的股东、基金管理人的实际控制人变更；</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8、基金募集期延长或提前结束募集；</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9、基金管理人的高级管理人员、基金经理和基金托管人专门基金托管部门负责人发生变动；</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10、基金管理人的董事在最近12个月内变更超过百分之五十，基金管理人、基金托管人专门基金托管部门的主要业务人员在最近12个月内变动超过百分之三十；</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11、涉及基金管理业务、基金财产、基金托管业务的诉讼或仲裁；</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12、基金管理人或其高级管理人员、基金经理因基金管理业务相关行为受到重大行政处罚、刑事处罚，基金托管人或其专门基金托管部门负责人因基金托管业务相关行为受到重大行政处罚、刑事处罚；</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14、基金收益分配事项；</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15、管理费、托管费、申购费、赎回费等费用计提标准、计提方式和费率发生变更；</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16、基金份额净值计价错误达基金份额净值百分之零点五；</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17、本基金开始办理申购、赎回；</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18、本基金暂停接受申购、赎回申请或重新接受申购、赎回申请或延缓支付赎回对价；</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19、本基金变更标的指数；</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20、本基金停牌、复牌、暂停上市、恢复上市或终止上市交易；</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21、本基金推出新业务或服务；</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22、调整最小申购赎回单位、申购赎回方式及申购对价、赎回对价组成；</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23、发生涉及申购、赎回事项调整或潜在影响投资人赎回等重大事项时；</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24、基金信息披露义务人认为可能对基金份额持有人权益或者基金份额的价格产生重大影响的其他事项或中国证监会规定和基金合同约定的其他事项。</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（十一）澄清公告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深圳证券交易所。</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（十二）清算报告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合同终止的，基金管理人应当依法组织清算组对基金财产进行清算并作出清算报告。清算报告应当经过符合《中华人民共和国证券法》规定的会计师事务所审计，并由律师事务所出具法律意见书。清算组应当将清算报告登载在规定网站上，并将清算报告提示性公告登载在规定报刊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（十三）基金份额持有人大会决议</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基金份额持有人大会决定的事项，应当依法报中国证监会备案，并予以公告。</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（十四）</w:t>
      </w:r>
      <w:bookmarkStart w:id="403" w:name="_Hlk177991594"/>
      <w:r>
        <w:rPr>
          <w:rFonts w:hint="eastAsia"/>
          <w:color w:val="000000" w:themeColor="text1"/>
          <w:sz w:val="24"/>
          <w:szCs w:val="24"/>
          <w14:textFill>
            <w14:solidFill>
              <w14:schemeClr w14:val="tx1"/>
            </w14:solidFill>
          </w14:textFill>
        </w:rPr>
        <w:t>投资国债期货的信息披露</w:t>
      </w:r>
      <w:bookmarkEnd w:id="403"/>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（十五）</w:t>
      </w:r>
      <w:bookmarkStart w:id="404" w:name="_Hlk177991603"/>
      <w:r>
        <w:rPr>
          <w:rFonts w:hint="eastAsia"/>
          <w:color w:val="000000" w:themeColor="text1"/>
          <w:sz w:val="24"/>
          <w:szCs w:val="24"/>
          <w14:textFill>
            <w14:solidFill>
              <w14:schemeClr w14:val="tx1"/>
            </w14:solidFill>
          </w14:textFill>
        </w:rPr>
        <w:t>投资资产支持证券的信息披露</w:t>
      </w:r>
      <w:bookmarkEnd w:id="404"/>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spacing w:line="360" w:lineRule="auto"/>
        <w:ind w:firstLine="480" w:firstLineChars="200"/>
        <w:rPr>
          <w:rFonts w:ascii="宋体"/>
          <w:bCs/>
          <w:color w:val="000000" w:themeColor="text1"/>
          <w:szCs w:val="21"/>
          <w14:textFill>
            <w14:solidFill>
              <w14:schemeClr w14:val="tx1"/>
            </w14:solidFill>
          </w14:textFill>
        </w:rPr>
      </w:pPr>
      <w:r>
        <w:rPr>
          <w:rFonts w:hint="eastAsia"/>
          <w:bCs/>
          <w:color w:val="000000" w:themeColor="text1"/>
          <w:sz w:val="24"/>
          <w14:textFill>
            <w14:solidFill>
              <w14:schemeClr w14:val="tx1"/>
            </w14:solidFill>
          </w14:textFill>
        </w:rPr>
        <w:t>（</w:t>
      </w:r>
      <w:r>
        <w:rPr>
          <w:rFonts w:hint="eastAsia"/>
          <w:color w:val="000000" w:themeColor="text1"/>
          <w:sz w:val="24"/>
          <w:szCs w:val="24"/>
          <w14:textFill>
            <w14:solidFill>
              <w14:schemeClr w14:val="tx1"/>
            </w14:solidFill>
          </w14:textFill>
        </w:rPr>
        <w:t>十六</w:t>
      </w:r>
      <w:r>
        <w:rPr>
          <w:rFonts w:hint="eastAsia"/>
          <w:bCs/>
          <w:color w:val="000000" w:themeColor="text1"/>
          <w:sz w:val="24"/>
          <w14:textFill>
            <w14:solidFill>
              <w14:schemeClr w14:val="tx1"/>
            </w14:solidFill>
          </w14:textFill>
        </w:rPr>
        <w:t>）投资信用衍生品的信息披露</w:t>
      </w:r>
    </w:p>
    <w:p>
      <w:pPr>
        <w:spacing w:line="360" w:lineRule="auto"/>
        <w:ind w:firstLine="480" w:firstLineChars="200"/>
        <w:rPr>
          <w:color w:val="000000" w:themeColor="text1"/>
          <w:sz w:val="24"/>
          <w:szCs w:val="24"/>
          <w14:textFill>
            <w14:solidFill>
              <w14:schemeClr w14:val="tx1"/>
            </w14:solidFill>
          </w14:textFill>
        </w:rPr>
      </w:pPr>
      <w:r>
        <w:rPr>
          <w:rFonts w:hint="eastAsia"/>
          <w:bCs/>
          <w:color w:val="000000" w:themeColor="text1"/>
          <w:sz w:val="24"/>
          <w14:textFill>
            <w14:solidFill>
              <w14:schemeClr w14:val="tx1"/>
            </w14:solidFill>
          </w14:textFill>
        </w:rPr>
        <w:t>本基金投资于信用衍生品的，基金应当在定期报告及招募说明书（更新）等文件中详细披露信用衍生品的投资情况，包括投资策略、持仓情况等，并充分揭示投资信用衍生品对基金总体风险的影响以及是否符合既定的投资目标及策略。</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（十七）中国证监会规定的其他信息。</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六</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信息披露事务管理</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基金管理人、基金托管人应当建立健全信息披露管理制度，指定专门部门及高级管理人员负责管理信息披露事务。</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基金信息披露义务人公开披露基金信息，应当符合中国证监会相关基金信息披露内容与格式准则等法律法规的规定以及证券交易所的自律管理规则。</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托管人应当按照相关法律法规、中国证监会的规定和基金合同的约定，对基金管理人编制的基金资产净值、基金份额净值、基金定期报告、更新的招募说明书、基金产品资料概要、基金清算报告等公开披露的相关基金信息进行复核、审查，并向基金管理人进行书面或电子确认。</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基金管理人、基金托管人应当在规定媒介中选择一家媒介披露本基金信息。基金管理人、基金托管人应当向中国证监会基金电子披露网站报送拟披露的基金信息，并保证相关报送信息的真实、准确、完整、及时。</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基金托管人除依法在规定媒介上披露信息外，还可以根据需要在其他公共媒介披露信息，但是其他公共媒介不得早于规定媒介和深圳证券交易所网站披露信息，并且在不同媒介上披露同一信息的内容应当一致。</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为基金信息披露义务人公开披露的基金信息出具审计报告、法律意见书的专业机构，应当制作工作底稿，并将相关档案至少保存到基金合同终止后10年。</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七</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信息披露文件的存放与查阅</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依法必须披露的信息发布后，基金管理人、基金托管人应当按照相关法律法规规定将信息置备于各自住所、深圳证券交易所，供社会公众查阅、复制。</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八</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暂停或延迟信息披露的情形</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当出现下述情况时，基金管理人和基金托管人可暂停或延迟披露基金相关信息：</w:t>
      </w:r>
    </w:p>
    <w:p>
      <w:pPr>
        <w:spacing w:line="360" w:lineRule="auto"/>
        <w:ind w:firstLine="480" w:firstLineChars="200"/>
        <w:rPr>
          <w:color w:val="000000" w:themeColor="text1"/>
          <w:sz w:val="24"/>
          <w:szCs w:val="24"/>
          <w14:textFill>
            <w14:solidFill>
              <w14:schemeClr w14:val="tx1"/>
            </w14:solidFill>
          </w14:textFill>
        </w:rPr>
      </w:pPr>
      <w:bookmarkStart w:id="405" w:name="_Hlk177991631"/>
      <w:r>
        <w:rPr>
          <w:rFonts w:hint="eastAsia"/>
          <w:color w:val="000000" w:themeColor="text1"/>
          <w:sz w:val="24"/>
          <w:szCs w:val="24"/>
          <w14:textFill>
            <w14:solidFill>
              <w14:schemeClr w14:val="tx1"/>
            </w14:solidFill>
          </w14:textFill>
        </w:rPr>
        <w:t>1、不可抗力；</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2、发生基金暂停估值的情形；</w:t>
      </w:r>
    </w:p>
    <w:p>
      <w:pPr>
        <w:spacing w:line="360" w:lineRule="auto"/>
        <w:ind w:firstLine="480" w:firstLineChars="200"/>
        <w:rPr>
          <w:bCs/>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3、法律法规规定、中国证监会或《基金合同》认定的其他情形。</w:t>
      </w:r>
      <w:bookmarkEnd w:id="405"/>
    </w:p>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kern w:val="44"/>
          <w:sz w:val="21"/>
          <w14:textFill>
            <w14:solidFill>
              <w14:schemeClr w14:val="tx1"/>
            </w14:solidFill>
          </w14:textFill>
        </w:rPr>
        <w:br w:type="page"/>
      </w:r>
      <w:bookmarkStart w:id="406" w:name="_Toc104716707"/>
      <w:bookmarkStart w:id="407" w:name="_Toc6237"/>
      <w:bookmarkStart w:id="408" w:name="_Toc8049"/>
      <w:bookmarkStart w:id="409" w:name="_Toc27464"/>
      <w:bookmarkStart w:id="410" w:name="_Toc98560364"/>
      <w:bookmarkStart w:id="411" w:name="_Toc139991749"/>
      <w:bookmarkStart w:id="412" w:name="_Toc123102466"/>
      <w:bookmarkStart w:id="413" w:name="_Toc123112247"/>
      <w:bookmarkStart w:id="414" w:name="_Toc29891"/>
      <w:bookmarkStart w:id="415" w:name="_Toc10006"/>
      <w:bookmarkStart w:id="416" w:name="_Toc25647"/>
      <w:bookmarkStart w:id="417" w:name="_Toc22978"/>
      <w:bookmarkStart w:id="418" w:name="_Toc7170"/>
      <w:bookmarkStart w:id="419" w:name="_Toc141703899"/>
      <w:bookmarkStart w:id="420" w:name="_Toc9005"/>
      <w:bookmarkStart w:id="421" w:name="_Toc8059"/>
      <w:bookmarkStart w:id="422" w:name="_Toc123051465"/>
      <w:r>
        <w:rPr>
          <w:rFonts w:ascii="Times New Roman"/>
          <w:color w:val="000000" w:themeColor="text1"/>
          <w:sz w:val="30"/>
          <w14:textFill>
            <w14:solidFill>
              <w14:schemeClr w14:val="tx1"/>
            </w14:solidFill>
          </w14:textFill>
        </w:rPr>
        <w:t>第</w:t>
      </w:r>
      <w:r>
        <w:rPr>
          <w:rFonts w:hint="eastAsia" w:ascii="Times New Roman"/>
          <w:color w:val="000000" w:themeColor="text1"/>
          <w:sz w:val="30"/>
          <w14:textFill>
            <w14:solidFill>
              <w14:schemeClr w14:val="tx1"/>
            </w14:solidFill>
          </w14:textFill>
        </w:rPr>
        <w:t>二十一</w:t>
      </w:r>
      <w:r>
        <w:rPr>
          <w:rFonts w:ascii="Times New Roman"/>
          <w:color w:val="000000" w:themeColor="text1"/>
          <w:sz w:val="30"/>
          <w14:textFill>
            <w14:solidFill>
              <w14:schemeClr w14:val="tx1"/>
            </w14:solidFill>
          </w14:textFill>
        </w:rPr>
        <w:t xml:space="preserve">部分  </w:t>
      </w:r>
      <w:bookmarkStart w:id="423" w:name="_Hlt88828593"/>
      <w:r>
        <w:rPr>
          <w:rFonts w:ascii="Times New Roman"/>
          <w:color w:val="000000" w:themeColor="text1"/>
          <w:sz w:val="30"/>
          <w14:textFill>
            <w14:solidFill>
              <w14:schemeClr w14:val="tx1"/>
            </w14:solidFill>
          </w14:textFill>
        </w:rPr>
        <w:t>基金合同</w:t>
      </w:r>
      <w:bookmarkEnd w:id="423"/>
      <w:r>
        <w:rPr>
          <w:rFonts w:ascii="Times New Roman"/>
          <w:color w:val="000000" w:themeColor="text1"/>
          <w:sz w:val="30"/>
          <w14:textFill>
            <w14:solidFill>
              <w14:schemeClr w14:val="tx1"/>
            </w14:solidFill>
          </w14:textFill>
        </w:rPr>
        <w:t>的变更、终止与基金财产的清算</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pPr>
        <w:spacing w:line="360" w:lineRule="auto"/>
        <w:ind w:firstLine="480" w:firstLineChars="200"/>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bookmarkStart w:id="424" w:name="_Toc79392639"/>
      <w:r>
        <w:rPr>
          <w:bCs/>
          <w:color w:val="000000" w:themeColor="text1"/>
          <w:sz w:val="24"/>
          <w14:textFill>
            <w14:solidFill>
              <w14:schemeClr w14:val="tx1"/>
            </w14:solidFill>
          </w14:textFill>
        </w:rPr>
        <w:t>一、《基金合同》的变更</w:t>
      </w:r>
      <w:bookmarkEnd w:id="424"/>
    </w:p>
    <w:p>
      <w:pPr>
        <w:adjustRightIn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1、变更基金合同</w:t>
      </w:r>
      <w:r>
        <w:rPr>
          <w:rFonts w:hint="eastAsia"/>
          <w:bCs/>
          <w:color w:val="000000" w:themeColor="text1"/>
          <w:sz w:val="24"/>
          <w14:textFill>
            <w14:solidFill>
              <w14:schemeClr w14:val="tx1"/>
            </w14:solidFill>
          </w14:textFill>
        </w:rPr>
        <w:t>涉及</w:t>
      </w:r>
      <w:r>
        <w:rPr>
          <w:bCs/>
          <w:color w:val="000000" w:themeColor="text1"/>
          <w:sz w:val="24"/>
          <w14:textFill>
            <w14:solidFill>
              <w14:schemeClr w14:val="tx1"/>
            </w14:solidFill>
          </w14:textFill>
        </w:rPr>
        <w:t>法律法规规定或</w:t>
      </w:r>
      <w:r>
        <w:rPr>
          <w:rFonts w:hint="eastAsia"/>
          <w:bCs/>
          <w:color w:val="000000" w:themeColor="text1"/>
          <w:sz w:val="24"/>
          <w14:textFill>
            <w14:solidFill>
              <w14:schemeClr w14:val="tx1"/>
            </w14:solidFill>
          </w14:textFill>
        </w:rPr>
        <w:t>基金</w:t>
      </w:r>
      <w:r>
        <w:rPr>
          <w:bCs/>
          <w:color w:val="000000" w:themeColor="text1"/>
          <w:sz w:val="24"/>
          <w14:textFill>
            <w14:solidFill>
              <w14:schemeClr w14:val="tx1"/>
            </w14:solidFill>
          </w14:textFill>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关于基金合同变更的基金份额持有人大会决议自生效后方可执行，并自决议生效后依照《信息披露办法》的有关规定在规定媒介公告</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二、《基金合同》的终止事由</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有下列情形之一的，</w:t>
      </w:r>
      <w:r>
        <w:rPr>
          <w:rFonts w:hint="eastAsia"/>
          <w:bCs/>
          <w:color w:val="000000" w:themeColor="text1"/>
          <w:sz w:val="24"/>
          <w14:textFill>
            <w14:solidFill>
              <w14:schemeClr w14:val="tx1"/>
            </w14:solidFill>
          </w14:textFill>
        </w:rPr>
        <w:t>经履行相关程序后，</w:t>
      </w:r>
      <w:r>
        <w:rPr>
          <w:bCs/>
          <w:color w:val="000000" w:themeColor="text1"/>
          <w:sz w:val="24"/>
          <w14:textFill>
            <w14:solidFill>
              <w14:schemeClr w14:val="tx1"/>
            </w14:solidFill>
          </w14:textFill>
        </w:rPr>
        <w:t>《基金合同》应当终止：</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1、基金份额持有人大会决定终止的；</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2、基金管理人、基金托管人职责终止，在6个月内没有新基金管理人、新基金托管人承接的；</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出现标的指数不符合要求（因成份券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4、《基金合同》约定的其他情形；</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5、相关法律法规和中国证监会规定的其他情况。</w:t>
      </w:r>
    </w:p>
    <w:p>
      <w:pPr>
        <w:spacing w:line="360" w:lineRule="auto"/>
        <w:ind w:firstLine="480" w:firstLineChars="200"/>
        <w:rPr>
          <w:bCs/>
          <w:color w:val="000000" w:themeColor="text1"/>
          <w:sz w:val="24"/>
          <w14:textFill>
            <w14:solidFill>
              <w14:schemeClr w14:val="tx1"/>
            </w14:solidFill>
          </w14:textFill>
        </w:rPr>
      </w:pPr>
      <w:bookmarkStart w:id="425" w:name="OLE_LINK26"/>
      <w:r>
        <w:rPr>
          <w:bCs/>
          <w:color w:val="000000" w:themeColor="text1"/>
          <w:sz w:val="24"/>
          <w14:textFill>
            <w14:solidFill>
              <w14:schemeClr w14:val="tx1"/>
            </w14:solidFill>
          </w14:textFill>
        </w:rPr>
        <w:t>三、基金财产的清算</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1、基金财产清算小组：自出现《基金合同》终止事由之日起30个工作日内成立</w:t>
      </w:r>
      <w:r>
        <w:rPr>
          <w:rFonts w:hint="eastAsia"/>
          <w:bCs/>
          <w:color w:val="000000" w:themeColor="text1"/>
          <w:sz w:val="24"/>
          <w14:textFill>
            <w14:solidFill>
              <w14:schemeClr w14:val="tx1"/>
            </w14:solidFill>
          </w14:textFill>
        </w:rPr>
        <w:t>基金财产</w:t>
      </w:r>
      <w:r>
        <w:rPr>
          <w:bCs/>
          <w:color w:val="000000" w:themeColor="text1"/>
          <w:sz w:val="24"/>
          <w14:textFill>
            <w14:solidFill>
              <w14:schemeClr w14:val="tx1"/>
            </w14:solidFill>
          </w14:textFill>
        </w:rPr>
        <w:t>清算小组，基金管理人组织基金财产清算小组并在中国证监会的监督下进行基金</w:t>
      </w:r>
      <w:r>
        <w:rPr>
          <w:rFonts w:hint="eastAsia"/>
          <w:bCs/>
          <w:color w:val="000000" w:themeColor="text1"/>
          <w:sz w:val="24"/>
          <w14:textFill>
            <w14:solidFill>
              <w14:schemeClr w14:val="tx1"/>
            </w14:solidFill>
          </w14:textFill>
        </w:rPr>
        <w:t>财产</w:t>
      </w:r>
      <w:r>
        <w:rPr>
          <w:bCs/>
          <w:color w:val="000000" w:themeColor="text1"/>
          <w:sz w:val="24"/>
          <w14:textFill>
            <w14:solidFill>
              <w14:schemeClr w14:val="tx1"/>
            </w14:solidFill>
          </w14:textFill>
        </w:rPr>
        <w:t>清算。</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2、基金财产清算小组组成：基金财产清算小组成员由基金管理人、基金托管人、</w:t>
      </w:r>
      <w:r>
        <w:rPr>
          <w:rFonts w:hint="eastAsia"/>
          <w:bCs/>
          <w:color w:val="000000" w:themeColor="text1"/>
          <w:sz w:val="24"/>
          <w14:textFill>
            <w14:solidFill>
              <w14:schemeClr w14:val="tx1"/>
            </w14:solidFill>
          </w14:textFill>
        </w:rPr>
        <w:t>符合《中华人民共和国证券法》规定</w:t>
      </w:r>
      <w:r>
        <w:rPr>
          <w:bCs/>
          <w:color w:val="000000" w:themeColor="text1"/>
          <w:sz w:val="24"/>
          <w14:textFill>
            <w14:solidFill>
              <w14:schemeClr w14:val="tx1"/>
            </w14:solidFill>
          </w14:textFill>
        </w:rPr>
        <w:t>的注册会计师、律师以及中国证监会指定的人员组成。基金财产清算小组可以聘用必要的工作人员。</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3、基金财产清算小组职责：基金财产清算小组负责基金财产的保管、清理、估价、变现和分配。基金财产清算小组可以依法进行必要的民事活动。</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4、基金财产清算程序：</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（1）《基金合同》终止情形出现时，由基金财产清算小组统一接管基金</w:t>
      </w:r>
      <w:r>
        <w:rPr>
          <w:rFonts w:hint="eastAsia"/>
          <w:bCs/>
          <w:color w:val="000000" w:themeColor="text1"/>
          <w:sz w:val="24"/>
          <w14:textFill>
            <w14:solidFill>
              <w14:schemeClr w14:val="tx1"/>
            </w14:solidFill>
          </w14:textFill>
        </w:rPr>
        <w:t>财产</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（2）对基金财产和债权债务进行清理和确认；</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（3）对基金财产进行估值和变现；</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（4）制作清算报告；</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（5）聘请会计师事务所对清算报告进行外部审计，聘请律师事务所对清算报告出具法律意见书；</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（6）将清算报告报中国证监会备案并公告</w:t>
      </w:r>
      <w:r>
        <w:rPr>
          <w:rFonts w:hint="eastAsia"/>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（7）对基金</w:t>
      </w:r>
      <w:r>
        <w:rPr>
          <w:rFonts w:hint="eastAsia"/>
          <w:bCs/>
          <w:color w:val="000000" w:themeColor="text1"/>
          <w:sz w:val="24"/>
          <w14:textFill>
            <w14:solidFill>
              <w14:schemeClr w14:val="tx1"/>
            </w14:solidFill>
          </w14:textFill>
        </w:rPr>
        <w:t>剩余</w:t>
      </w:r>
      <w:r>
        <w:rPr>
          <w:bCs/>
          <w:color w:val="000000" w:themeColor="text1"/>
          <w:sz w:val="24"/>
          <w14:textFill>
            <w14:solidFill>
              <w14:schemeClr w14:val="tx1"/>
            </w14:solidFill>
          </w14:textFill>
        </w:rPr>
        <w:t>财产进行分配</w:t>
      </w:r>
      <w:r>
        <w:rPr>
          <w:rFonts w:hint="eastAsia"/>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5、基金财产清算的期限为</w:t>
      </w:r>
      <w:r>
        <w:rPr>
          <w:rFonts w:hint="eastAsia"/>
          <w:color w:val="000000" w:themeColor="text1"/>
          <w:sz w:val="24"/>
          <w14:textFill>
            <w14:solidFill>
              <w14:schemeClr w14:val="tx1"/>
            </w14:solidFill>
          </w14:textFill>
        </w:rPr>
        <w:t>6</w:t>
      </w:r>
      <w:r>
        <w:rPr>
          <w:color w:val="000000" w:themeColor="text1"/>
          <w:sz w:val="24"/>
          <w14:textFill>
            <w14:solidFill>
              <w14:schemeClr w14:val="tx1"/>
            </w14:solidFill>
          </w14:textFill>
        </w:rPr>
        <w:t>个月，但因本基金所持证券的流动性受到限制而不能及时变现的，清算期限相应顺延</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四、清算费用</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清算费用是指基金财产清算小组在进行基金清算过程中发生的所有合理费用，清算费用由基金财产清算小组优先从基金财产中支付。</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五、基金财产清算剩余资产的分配</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依据基金财产清算的分配方案，将基金财产清算后的全部剩余资产扣除基金财产清算费用、交纳所欠税款并清偿基金债务后，按基金份额持有人持有的基金份额比例进行分配。</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六、基金财产清算的公告</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清算过程中的有关重大事项须及时公告；基金财产清算报告经</w:t>
      </w:r>
      <w:r>
        <w:rPr>
          <w:rFonts w:hint="eastAsia"/>
          <w:bCs/>
          <w:color w:val="000000" w:themeColor="text1"/>
          <w:sz w:val="24"/>
          <w14:textFill>
            <w14:solidFill>
              <w14:schemeClr w14:val="tx1"/>
            </w14:solidFill>
          </w14:textFill>
        </w:rPr>
        <w:t>符合《中华人民共和国证券法》规定的</w:t>
      </w:r>
      <w:r>
        <w:rPr>
          <w:bCs/>
          <w:color w:val="000000" w:themeColor="text1"/>
          <w:sz w:val="24"/>
          <w14:textFill>
            <w14:solidFill>
              <w14:schemeClr w14:val="tx1"/>
            </w14:solidFill>
          </w14:textFill>
        </w:rPr>
        <w:t>会计师事务所审计并由律师事务所出具法律意见书后报中国证监会备案并公告。基金财产清算公告于基金财产清算报告报中国证监会备案后</w:t>
      </w:r>
      <w:r>
        <w:rPr>
          <w:rFonts w:hint="eastAsia"/>
          <w:bCs/>
          <w:color w:val="000000" w:themeColor="text1"/>
          <w:sz w:val="24"/>
          <w14:textFill>
            <w14:solidFill>
              <w14:schemeClr w14:val="tx1"/>
            </w14:solidFill>
          </w14:textFill>
        </w:rPr>
        <w:t>5</w:t>
      </w:r>
      <w:r>
        <w:rPr>
          <w:bCs/>
          <w:color w:val="000000" w:themeColor="text1"/>
          <w:sz w:val="24"/>
          <w14:textFill>
            <w14:solidFill>
              <w14:schemeClr w14:val="tx1"/>
            </w14:solidFill>
          </w14:textFill>
        </w:rPr>
        <w:t>个工作日内由基金财产清算小组进行公告</w:t>
      </w:r>
      <w:r>
        <w:rPr>
          <w:rFonts w:hint="eastAsia"/>
          <w:bCs/>
          <w:color w:val="000000" w:themeColor="text1"/>
          <w:sz w:val="24"/>
          <w14:textFill>
            <w14:solidFill>
              <w14:schemeClr w14:val="tx1"/>
            </w14:solidFill>
          </w14:textFill>
        </w:rPr>
        <w:t>，基金财产清算小组应当将清算报告登载在规定网站上，并将清算报告提示性公告登载在规定报刊上</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七、基金财产清算账册及文件的保存</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基金财产清算账册及有关文件由基金托管人保存</w:t>
      </w:r>
      <w:r>
        <w:rPr>
          <w:rFonts w:hint="eastAsia"/>
          <w:bCs/>
          <w:color w:val="000000" w:themeColor="text1"/>
          <w:sz w:val="24"/>
          <w14:textFill>
            <w14:solidFill>
              <w14:schemeClr w14:val="tx1"/>
            </w14:solidFill>
          </w14:textFill>
        </w:rPr>
        <w:t>，保存时间不低于法律法规规定的最低期限</w:t>
      </w:r>
      <w:r>
        <w:rPr>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p>
    <w:p>
      <w:pPr>
        <w:pStyle w:val="2"/>
        <w:spacing w:before="0" w:after="0"/>
        <w:jc w:val="center"/>
        <w:rPr>
          <w:rFonts w:ascii="Times New Roman"/>
          <w:color w:val="000000" w:themeColor="text1"/>
          <w:sz w:val="30"/>
          <w14:textFill>
            <w14:solidFill>
              <w14:schemeClr w14:val="tx1"/>
            </w14:solidFill>
          </w14:textFill>
        </w:rPr>
      </w:pPr>
      <w:bookmarkStart w:id="426" w:name="_Toc48649720"/>
      <w:bookmarkStart w:id="427" w:name="_Toc123112248"/>
      <w:bookmarkStart w:id="428" w:name="_Toc79392641"/>
      <w:bookmarkStart w:id="429" w:name="_Toc123102467"/>
      <w:bookmarkStart w:id="430" w:name="_Toc98560365"/>
      <w:bookmarkStart w:id="431" w:name="_Toc123051466"/>
      <w:r>
        <w:rPr>
          <w:rFonts w:ascii="Times New Roman"/>
          <w:b w:val="0"/>
          <w:bCs/>
          <w:color w:val="000000" w:themeColor="text1"/>
          <w14:textFill>
            <w14:solidFill>
              <w14:schemeClr w14:val="tx1"/>
            </w14:solidFill>
          </w14:textFill>
        </w:rPr>
        <w:br w:type="page"/>
      </w:r>
      <w:bookmarkEnd w:id="425"/>
      <w:bookmarkStart w:id="432" w:name="_Toc8710"/>
      <w:bookmarkStart w:id="433" w:name="_Toc30645"/>
      <w:bookmarkStart w:id="434" w:name="_Toc23022"/>
      <w:bookmarkStart w:id="435" w:name="_Toc7367"/>
      <w:bookmarkStart w:id="436" w:name="_Toc139991750"/>
      <w:bookmarkStart w:id="437" w:name="_Toc12191"/>
      <w:bookmarkStart w:id="438" w:name="_Toc9708"/>
      <w:bookmarkStart w:id="439" w:name="_Toc28549"/>
      <w:bookmarkStart w:id="440" w:name="_Toc27058"/>
      <w:bookmarkStart w:id="441" w:name="_Toc104716708"/>
      <w:bookmarkStart w:id="442" w:name="_Toc141703901"/>
      <w:bookmarkStart w:id="443" w:name="_Toc21240"/>
      <w:bookmarkStart w:id="444" w:name="_Toc13398"/>
      <w:r>
        <w:rPr>
          <w:rFonts w:ascii="Times New Roman"/>
          <w:color w:val="000000" w:themeColor="text1"/>
          <w:sz w:val="30"/>
          <w14:textFill>
            <w14:solidFill>
              <w14:schemeClr w14:val="tx1"/>
            </w14:solidFill>
          </w14:textFill>
        </w:rPr>
        <w:t>第二十</w:t>
      </w:r>
      <w:r>
        <w:rPr>
          <w:rFonts w:hint="eastAsia" w:ascii="Times New Roman"/>
          <w:color w:val="000000" w:themeColor="text1"/>
          <w:sz w:val="30"/>
          <w14:textFill>
            <w14:solidFill>
              <w14:schemeClr w14:val="tx1"/>
            </w14:solidFill>
          </w14:textFill>
        </w:rPr>
        <w:t>二</w:t>
      </w:r>
      <w:r>
        <w:rPr>
          <w:rFonts w:ascii="Times New Roman"/>
          <w:color w:val="000000" w:themeColor="text1"/>
          <w:sz w:val="30"/>
          <w14:textFill>
            <w14:solidFill>
              <w14:schemeClr w14:val="tx1"/>
            </w14:solidFill>
          </w14:textFill>
        </w:rPr>
        <w:t>部分  违约责任</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pPr>
        <w:spacing w:line="360" w:lineRule="auto"/>
        <w:ind w:firstLine="480" w:firstLineChars="200"/>
        <w:rPr>
          <w:bCs/>
          <w:color w:val="000000" w:themeColor="text1"/>
          <w:sz w:val="24"/>
          <w14:textFill>
            <w14:solidFill>
              <w14:schemeClr w14:val="tx1"/>
            </w14:solidFill>
          </w14:textFill>
        </w:rPr>
      </w:pP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bCs/>
          <w:color w:val="000000" w:themeColor="text1"/>
          <w:sz w:val="24"/>
          <w14:textFill>
            <w14:solidFill>
              <w14:schemeClr w14:val="tx1"/>
            </w14:solidFill>
          </w14:textFill>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对损失的赔偿，仅限于直接损失。</w:t>
      </w:r>
      <w:r>
        <w:rPr>
          <w:rFonts w:hint="eastAsia" w:ascii="宋体" w:hAnsi="宋体"/>
          <w:color w:val="000000" w:themeColor="text1"/>
          <w:sz w:val="24"/>
          <w14:textFill>
            <w14:solidFill>
              <w14:schemeClr w14:val="tx1"/>
            </w14:solidFill>
          </w14:textFill>
        </w:rPr>
        <w:t>但是发生下列情况的，当事人免责：</w:t>
      </w:r>
    </w:p>
    <w:p>
      <w:pPr>
        <w:adjustRightInd w:val="0"/>
        <w:snapToGrid w:val="0"/>
        <w:spacing w:line="360" w:lineRule="auto"/>
        <w:ind w:firstLine="480" w:firstLineChars="200"/>
        <w:rPr>
          <w:color w:val="000000" w:themeColor="text1"/>
          <w:sz w:val="24"/>
          <w14:textFill>
            <w14:solidFill>
              <w14:schemeClr w14:val="tx1"/>
            </w14:solidFill>
          </w14:textFill>
        </w:rPr>
      </w:pPr>
      <w:bookmarkStart w:id="445" w:name="_Hlk19836220"/>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、不可抗力；</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、基金管理人和</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或基金托管人按照届时有效的法律法规或中国证监会的规定作为或不作为而造成的损失等；</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、基金管理人由于按照基金合同规定行使或不行使其投资权而造成的损失等。</w:t>
      </w:r>
    </w:p>
    <w:bookmarkEnd w:id="445"/>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pPr>
        <w:spacing w:line="360" w:lineRule="auto"/>
        <w:ind w:firstLine="480" w:firstLineChars="200"/>
        <w:rPr>
          <w:bCs/>
          <w:color w:val="000000" w:themeColor="text1"/>
          <w:sz w:val="24"/>
          <w14:textFill>
            <w14:solidFill>
              <w14:schemeClr w14:val="tx1"/>
            </w14:solidFill>
          </w14:textFill>
        </w:rPr>
      </w:pPr>
      <w:bookmarkStart w:id="446" w:name="_Hlk19836258"/>
      <w:r>
        <w:rPr>
          <w:bCs/>
          <w:color w:val="000000" w:themeColor="text1"/>
          <w:sz w:val="24"/>
          <w14:textFill>
            <w14:solidFill>
              <w14:schemeClr w14:val="tx1"/>
            </w14:solidFill>
          </w14:textFill>
        </w:rPr>
        <w:t>三、由于基金管理人、基金托管人不可控制的因素导致业务出现差错，基金管理人和基金托管人虽然已经采取必要、适当、合理的措施进行检查，但是未能发现错误</w:t>
      </w:r>
      <w:r>
        <w:rPr>
          <w:rFonts w:hint="eastAsia"/>
          <w:bCs/>
          <w:color w:val="000000" w:themeColor="text1"/>
          <w:sz w:val="24"/>
          <w14:textFill>
            <w14:solidFill>
              <w14:schemeClr w14:val="tx1"/>
            </w14:solidFill>
          </w14:textFill>
        </w:rPr>
        <w:t>或虽发现错误但因前述原因无法及时更正</w:t>
      </w:r>
      <w:r>
        <w:rPr>
          <w:bCs/>
          <w:color w:val="000000" w:themeColor="text1"/>
          <w:sz w:val="24"/>
          <w14:textFill>
            <w14:solidFill>
              <w14:schemeClr w14:val="tx1"/>
            </w14:solidFill>
          </w14:textFill>
        </w:rPr>
        <w:t>的，由此造成基金财产或投资人损失，基金管理人和基金托管人免除赔偿责任。但是基金管理人和基金托管人应积极采取必要的措施消除</w:t>
      </w:r>
      <w:r>
        <w:rPr>
          <w:rFonts w:hint="eastAsia" w:ascii="宋体" w:hAnsi="宋体"/>
          <w:color w:val="000000" w:themeColor="text1"/>
          <w:sz w:val="24"/>
          <w14:textFill>
            <w14:solidFill>
              <w14:schemeClr w14:val="tx1"/>
            </w14:solidFill>
          </w14:textFill>
        </w:rPr>
        <w:t>或减轻</w:t>
      </w:r>
      <w:r>
        <w:rPr>
          <w:bCs/>
          <w:color w:val="000000" w:themeColor="text1"/>
          <w:sz w:val="24"/>
          <w14:textFill>
            <w14:solidFill>
              <w14:schemeClr w14:val="tx1"/>
            </w14:solidFill>
          </w14:textFill>
        </w:rPr>
        <w:t>由此造成的影响。</w:t>
      </w:r>
    </w:p>
    <w:bookmarkEnd w:id="446"/>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14:textFill>
            <w14:solidFill>
              <w14:schemeClr w14:val="tx1"/>
            </w14:solidFill>
          </w14:textFill>
        </w:rPr>
        <w:br w:type="page"/>
      </w:r>
      <w:bookmarkStart w:id="447" w:name="_Toc98560366"/>
      <w:bookmarkStart w:id="448" w:name="_Toc7288"/>
      <w:bookmarkStart w:id="449" w:name="_Toc23999"/>
      <w:bookmarkStart w:id="450" w:name="_Toc21983"/>
      <w:bookmarkStart w:id="451" w:name="_Toc104716709"/>
      <w:bookmarkStart w:id="452" w:name="_Toc24923"/>
      <w:bookmarkStart w:id="453" w:name="_Toc123112249"/>
      <w:bookmarkStart w:id="454" w:name="_Toc123051467"/>
      <w:bookmarkStart w:id="455" w:name="_Toc123102468"/>
      <w:bookmarkStart w:id="456" w:name="_Toc139991751"/>
      <w:bookmarkStart w:id="457" w:name="_Toc8636"/>
      <w:bookmarkStart w:id="458" w:name="_Toc30350"/>
      <w:bookmarkStart w:id="459" w:name="_Toc141703902"/>
      <w:bookmarkStart w:id="460" w:name="_Toc1790"/>
      <w:bookmarkStart w:id="461" w:name="_Toc3319"/>
      <w:bookmarkStart w:id="462" w:name="_Toc25651"/>
      <w:bookmarkStart w:id="463" w:name="_Toc6202"/>
      <w:r>
        <w:rPr>
          <w:rFonts w:ascii="Times New Roman"/>
          <w:color w:val="000000" w:themeColor="text1"/>
          <w:sz w:val="30"/>
          <w14:textFill>
            <w14:solidFill>
              <w14:schemeClr w14:val="tx1"/>
            </w14:solidFill>
          </w14:textFill>
        </w:rPr>
        <w:t>第二十</w:t>
      </w:r>
      <w:r>
        <w:rPr>
          <w:rFonts w:hint="eastAsia" w:ascii="Times New Roman"/>
          <w:color w:val="000000" w:themeColor="text1"/>
          <w:sz w:val="30"/>
          <w14:textFill>
            <w14:solidFill>
              <w14:schemeClr w14:val="tx1"/>
            </w14:solidFill>
          </w14:textFill>
        </w:rPr>
        <w:t>三</w:t>
      </w:r>
      <w:r>
        <w:rPr>
          <w:rFonts w:ascii="Times New Roman"/>
          <w:color w:val="000000" w:themeColor="text1"/>
          <w:sz w:val="30"/>
          <w14:textFill>
            <w14:solidFill>
              <w14:schemeClr w14:val="tx1"/>
            </w14:solidFill>
          </w14:textFill>
        </w:rPr>
        <w:t>部分  争议的处理和适用的法律</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spacing w:line="360" w:lineRule="auto"/>
        <w:ind w:firstLine="480" w:firstLineChars="200"/>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各方当事人同意，因《基金合同》而产生的或与《基金合同》有关的一切争议，如经友好协商未能解决的，</w:t>
      </w:r>
      <w:bookmarkStart w:id="464" w:name="OLE_LINK17"/>
      <w:r>
        <w:rPr>
          <w:rFonts w:hint="eastAsia"/>
          <w:bCs/>
          <w:color w:val="000000" w:themeColor="text1"/>
          <w:sz w:val="24"/>
          <w14:textFill>
            <w14:solidFill>
              <w14:schemeClr w14:val="tx1"/>
            </w14:solidFill>
          </w14:textFill>
        </w:rPr>
        <w:t>应提交中国国际经济贸易仲裁委员会并按其届时有效的仲裁规则进行仲裁，仲裁地点为北京市</w:t>
      </w:r>
      <w:bookmarkEnd w:id="464"/>
      <w:r>
        <w:rPr>
          <w:rFonts w:hint="eastAsia"/>
          <w:bCs/>
          <w:color w:val="000000" w:themeColor="text1"/>
          <w:sz w:val="24"/>
          <w14:textFill>
            <w14:solidFill>
              <w14:schemeClr w14:val="tx1"/>
            </w14:solidFill>
          </w14:textFill>
        </w:rPr>
        <w:t>，仲裁裁决是终局性的并对各方当事人具有约束力。除非仲裁裁决另有规定</w:t>
      </w:r>
      <w:r>
        <w:rPr>
          <w:rFonts w:hint="eastAsia"/>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仲裁费由败诉方承担。</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争议处理期间，基金管理人、基金托管人应恪守各自的职责，继续忠实、勤勉、尽责地履行基金合同规定的义务，维护基金份额持有人的合法权益。</w:t>
      </w:r>
    </w:p>
    <w:p>
      <w:pPr>
        <w:spacing w:line="360" w:lineRule="auto"/>
        <w:ind w:firstLine="480" w:firstLineChars="200"/>
        <w:rPr>
          <w:bCs/>
          <w:color w:val="000000" w:themeColor="text1"/>
          <w:sz w:val="24"/>
          <w14:textFill>
            <w14:solidFill>
              <w14:schemeClr w14:val="tx1"/>
            </w14:solidFill>
          </w14:textFill>
        </w:rPr>
        <w:sectPr>
          <w:pgSz w:w="11906" w:h="16838"/>
          <w:pgMar w:top="1440" w:right="1800" w:bottom="1440" w:left="1800" w:header="851" w:footer="992" w:gutter="0"/>
          <w:pgNumType w:start="1"/>
          <w:cols w:space="720" w:num="1"/>
          <w:docGrid w:type="lines" w:linePitch="312" w:charSpace="0"/>
        </w:sectPr>
      </w:pPr>
      <w:r>
        <w:rPr>
          <w:bCs/>
          <w:color w:val="000000" w:themeColor="text1"/>
          <w:sz w:val="24"/>
          <w14:textFill>
            <w14:solidFill>
              <w14:schemeClr w14:val="tx1"/>
            </w14:solidFill>
          </w14:textFill>
        </w:rPr>
        <w:t>基金合同受中国</w:t>
      </w:r>
      <w:r>
        <w:rPr>
          <w:rFonts w:hint="eastAsia"/>
          <w:bCs/>
          <w:color w:val="000000" w:themeColor="text1"/>
          <w:sz w:val="24"/>
          <w14:textFill>
            <w14:solidFill>
              <w14:schemeClr w14:val="tx1"/>
            </w14:solidFill>
          </w14:textFill>
        </w:rPr>
        <w:t>（为本基金合同之目的，不含台湾、香港、澳门地区）</w:t>
      </w:r>
      <w:r>
        <w:rPr>
          <w:bCs/>
          <w:color w:val="000000" w:themeColor="text1"/>
          <w:sz w:val="24"/>
          <w14:textFill>
            <w14:solidFill>
              <w14:schemeClr w14:val="tx1"/>
            </w14:solidFill>
          </w14:textFill>
        </w:rPr>
        <w:t>法律管辖</w:t>
      </w:r>
      <w:r>
        <w:rPr>
          <w:rFonts w:hint="eastAsia"/>
          <w:bCs/>
          <w:color w:val="000000" w:themeColor="text1"/>
          <w:sz w:val="24"/>
          <w14:textFill>
            <w14:solidFill>
              <w14:schemeClr w14:val="tx1"/>
            </w14:solidFill>
          </w14:textFill>
        </w:rPr>
        <w:t>并从其解释。</w:t>
      </w:r>
    </w:p>
    <w:p>
      <w:pPr>
        <w:pStyle w:val="2"/>
        <w:spacing w:before="0" w:after="0"/>
        <w:jc w:val="center"/>
        <w:rPr>
          <w:rFonts w:ascii="Times New Roman"/>
          <w:color w:val="000000" w:themeColor="text1"/>
          <w:sz w:val="30"/>
          <w14:textFill>
            <w14:solidFill>
              <w14:schemeClr w14:val="tx1"/>
            </w14:solidFill>
          </w14:textFill>
        </w:rPr>
      </w:pPr>
      <w:bookmarkStart w:id="465" w:name="_Toc123051468"/>
      <w:bookmarkStart w:id="466" w:name="_Toc123112250"/>
      <w:bookmarkStart w:id="467" w:name="_Toc29505"/>
      <w:bookmarkStart w:id="468" w:name="_Toc11618"/>
      <w:bookmarkStart w:id="469" w:name="_Toc31966"/>
      <w:bookmarkStart w:id="470" w:name="_Toc8454"/>
      <w:bookmarkStart w:id="471" w:name="_Toc123102469"/>
      <w:bookmarkStart w:id="472" w:name="_Toc484"/>
      <w:bookmarkStart w:id="473" w:name="_Toc141703903"/>
      <w:bookmarkStart w:id="474" w:name="_Toc2532"/>
      <w:bookmarkStart w:id="475" w:name="_Toc139991752"/>
      <w:bookmarkStart w:id="476" w:name="_Toc104716710"/>
      <w:bookmarkStart w:id="477" w:name="_Toc23991"/>
      <w:bookmarkStart w:id="478" w:name="_Toc26461"/>
      <w:bookmarkStart w:id="479" w:name="_Toc8703"/>
      <w:bookmarkStart w:id="480" w:name="_Toc20350"/>
      <w:r>
        <w:rPr>
          <w:rFonts w:ascii="Times New Roman"/>
          <w:color w:val="000000" w:themeColor="text1"/>
          <w:sz w:val="30"/>
          <w14:textFill>
            <w14:solidFill>
              <w14:schemeClr w14:val="tx1"/>
            </w14:solidFill>
          </w14:textFill>
        </w:rPr>
        <w:t>第二十</w:t>
      </w:r>
      <w:r>
        <w:rPr>
          <w:rFonts w:hint="eastAsia" w:ascii="Times New Roman"/>
          <w:color w:val="000000" w:themeColor="text1"/>
          <w:sz w:val="30"/>
          <w14:textFill>
            <w14:solidFill>
              <w14:schemeClr w14:val="tx1"/>
            </w14:solidFill>
          </w14:textFill>
        </w:rPr>
        <w:t>四</w:t>
      </w:r>
      <w:r>
        <w:rPr>
          <w:rFonts w:ascii="Times New Roman"/>
          <w:color w:val="000000" w:themeColor="text1"/>
          <w:sz w:val="30"/>
          <w14:textFill>
            <w14:solidFill>
              <w14:schemeClr w14:val="tx1"/>
            </w14:solidFill>
          </w14:textFill>
        </w:rPr>
        <w:t>部分  基金合同的效力</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pPr>
        <w:spacing w:line="360" w:lineRule="auto"/>
        <w:ind w:firstLine="480" w:firstLineChars="200"/>
        <w:rPr>
          <w:bCs/>
          <w:color w:val="000000" w:themeColor="text1"/>
          <w:sz w:val="24"/>
          <w14:textFill>
            <w14:solidFill>
              <w14:schemeClr w14:val="tx1"/>
            </w14:solidFill>
          </w14:textFill>
        </w:rPr>
      </w:pP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《基金合同》是约定</w:t>
      </w:r>
      <w:r>
        <w:rPr>
          <w:rFonts w:hint="eastAsia"/>
          <w:bCs/>
          <w:color w:val="000000" w:themeColor="text1"/>
          <w:sz w:val="24"/>
          <w14:textFill>
            <w14:solidFill>
              <w14:schemeClr w14:val="tx1"/>
            </w14:solidFill>
          </w14:textFill>
        </w:rPr>
        <w:t>基金合同当事人</w:t>
      </w:r>
      <w:r>
        <w:rPr>
          <w:bCs/>
          <w:color w:val="000000" w:themeColor="text1"/>
          <w:sz w:val="24"/>
          <w14:textFill>
            <w14:solidFill>
              <w14:schemeClr w14:val="tx1"/>
            </w14:solidFill>
          </w14:textFill>
        </w:rPr>
        <w:t>之间权利义务关系的法律文件。</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1、《基金合同》经基金管理人、基金托管人双方盖</w:t>
      </w:r>
      <w:r>
        <w:rPr>
          <w:rFonts w:hint="eastAsia"/>
          <w:bCs/>
          <w:color w:val="000000" w:themeColor="text1"/>
          <w:sz w:val="24"/>
          <w14:textFill>
            <w14:solidFill>
              <w14:schemeClr w14:val="tx1"/>
            </w14:solidFill>
          </w14:textFill>
        </w:rPr>
        <w:t>公章</w:t>
      </w:r>
      <w:r>
        <w:rPr>
          <w:bCs/>
          <w:color w:val="000000" w:themeColor="text1"/>
          <w:sz w:val="24"/>
          <w14:textFill>
            <w14:solidFill>
              <w14:schemeClr w14:val="tx1"/>
            </w14:solidFill>
          </w14:textFill>
        </w:rPr>
        <w:t>或合同专用章以及双方法定代表人或授权代表签字</w:t>
      </w:r>
      <w:r>
        <w:rPr>
          <w:rFonts w:hint="eastAsia"/>
          <w:bCs/>
          <w:color w:val="000000" w:themeColor="text1"/>
          <w:sz w:val="24"/>
          <w14:textFill>
            <w14:solidFill>
              <w14:schemeClr w14:val="tx1"/>
            </w14:solidFill>
          </w14:textFill>
        </w:rPr>
        <w:t>或盖章</w:t>
      </w:r>
      <w:r>
        <w:rPr>
          <w:bCs/>
          <w:color w:val="000000" w:themeColor="text1"/>
          <w:sz w:val="24"/>
          <w14:textFill>
            <w14:solidFill>
              <w14:schemeClr w14:val="tx1"/>
            </w14:solidFill>
          </w14:textFill>
        </w:rPr>
        <w:t>并在募集结束后经基金管理人向中国证监会办理基金备案手续，并经中国证监会书面确认后生效。</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2、《基金合同》的有效期自其生效之日起至基金财产清算结果报中国证监会</w:t>
      </w:r>
      <w:r>
        <w:rPr>
          <w:rFonts w:hint="eastAsia"/>
          <w:bCs/>
          <w:color w:val="000000" w:themeColor="text1"/>
          <w:sz w:val="24"/>
          <w14:textFill>
            <w14:solidFill>
              <w14:schemeClr w14:val="tx1"/>
            </w14:solidFill>
          </w14:textFill>
        </w:rPr>
        <w:t>备案</w:t>
      </w:r>
      <w:r>
        <w:rPr>
          <w:bCs/>
          <w:color w:val="000000" w:themeColor="text1"/>
          <w:sz w:val="24"/>
          <w14:textFill>
            <w14:solidFill>
              <w14:schemeClr w14:val="tx1"/>
            </w14:solidFill>
          </w14:textFill>
        </w:rPr>
        <w:t>并公告之日止。</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3、《基金合同》自生效之日起对包括基金管理人、基金托管人和基金份额持有人在内的《基金合同》各方当事人具有同等的法律约束力。</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4、《基金合同》正本一式</w:t>
      </w:r>
      <w:r>
        <w:rPr>
          <w:rFonts w:hint="eastAsia"/>
          <w:bCs/>
          <w:color w:val="000000" w:themeColor="text1"/>
          <w:sz w:val="24"/>
          <w14:textFill>
            <w14:solidFill>
              <w14:schemeClr w14:val="tx1"/>
            </w14:solidFill>
          </w14:textFill>
        </w:rPr>
        <w:t>三</w:t>
      </w:r>
      <w:r>
        <w:rPr>
          <w:bCs/>
          <w:color w:val="000000" w:themeColor="text1"/>
          <w:sz w:val="24"/>
          <w14:textFill>
            <w14:solidFill>
              <w14:schemeClr w14:val="tx1"/>
            </w14:solidFill>
          </w14:textFill>
        </w:rPr>
        <w:t>份，除上报有关监管机构</w:t>
      </w:r>
      <w:r>
        <w:rPr>
          <w:rFonts w:hint="eastAsia"/>
          <w:bCs/>
          <w:color w:val="000000" w:themeColor="text1"/>
          <w:sz w:val="24"/>
          <w14:textFill>
            <w14:solidFill>
              <w14:schemeClr w14:val="tx1"/>
            </w14:solidFill>
          </w14:textFill>
        </w:rPr>
        <w:t>一</w:t>
      </w:r>
      <w:r>
        <w:rPr>
          <w:bCs/>
          <w:color w:val="000000" w:themeColor="text1"/>
          <w:sz w:val="24"/>
          <w14:textFill>
            <w14:solidFill>
              <w14:schemeClr w14:val="tx1"/>
            </w14:solidFill>
          </w14:textFill>
        </w:rPr>
        <w:t>份外，基金管理人、基金托管人各持有</w:t>
      </w:r>
      <w:r>
        <w:rPr>
          <w:rFonts w:hint="eastAsia"/>
          <w:bCs/>
          <w:color w:val="000000" w:themeColor="text1"/>
          <w:sz w:val="24"/>
          <w14:textFill>
            <w14:solidFill>
              <w14:schemeClr w14:val="tx1"/>
            </w14:solidFill>
          </w14:textFill>
        </w:rPr>
        <w:t>一</w:t>
      </w:r>
      <w:r>
        <w:rPr>
          <w:bCs/>
          <w:color w:val="000000" w:themeColor="text1"/>
          <w:sz w:val="24"/>
          <w14:textFill>
            <w14:solidFill>
              <w14:schemeClr w14:val="tx1"/>
            </w14:solidFill>
          </w14:textFill>
        </w:rPr>
        <w:t>份，每份具有同等的法律效力。</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5、《基金合同》可印制成册，供投资者在基金管理人、基金托管人、销售机构的办公场所和营业场所查阅。</w:t>
      </w:r>
    </w:p>
    <w:p>
      <w:pPr>
        <w:pStyle w:val="2"/>
        <w:spacing w:before="0" w:after="0"/>
        <w:jc w:val="center"/>
        <w:rPr>
          <w:rFonts w:ascii="Times New Roman"/>
          <w:color w:val="000000" w:themeColor="text1"/>
          <w:sz w:val="30"/>
          <w14:textFill>
            <w14:solidFill>
              <w14:schemeClr w14:val="tx1"/>
            </w14:solidFill>
          </w14:textFill>
        </w:rPr>
      </w:pPr>
      <w:r>
        <w:rPr>
          <w:rFonts w:ascii="Times New Roman"/>
          <w:b w:val="0"/>
          <w:bCs/>
          <w:color w:val="000000" w:themeColor="text1"/>
          <w14:textFill>
            <w14:solidFill>
              <w14:schemeClr w14:val="tx1"/>
            </w14:solidFill>
          </w14:textFill>
        </w:rPr>
        <w:br w:type="page"/>
      </w:r>
      <w:bookmarkStart w:id="481" w:name="_Toc104716711"/>
      <w:bookmarkStart w:id="482" w:name="_Toc21726"/>
      <w:r>
        <w:rPr>
          <w:rFonts w:hint="eastAsia" w:ascii="Times New Roman"/>
          <w:color w:val="000000" w:themeColor="text1"/>
          <w:sz w:val="30"/>
          <w14:textFill>
            <w14:solidFill>
              <w14:schemeClr w14:val="tx1"/>
            </w14:solidFill>
          </w14:textFill>
        </w:rPr>
        <w:t>第二十五部分  其他事项</w:t>
      </w:r>
      <w:bookmarkEnd w:id="481"/>
      <w:bookmarkEnd w:id="482"/>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《基金合同》如有未尽事宜，由《基金合同》当事人各方按有关法律法规协商解决。</w:t>
      </w:r>
    </w:p>
    <w:bookmarkEnd w:id="75"/>
    <w:bookmarkEnd w:id="76"/>
    <w:p>
      <w:pPr>
        <w:spacing w:line="360" w:lineRule="auto"/>
        <w:ind w:firstLine="480" w:firstLineChars="200"/>
        <w:rPr>
          <w:rFonts w:ascii="宋体" w:hAnsi="宋体"/>
          <w:color w:val="000000" w:themeColor="text1"/>
          <w:sz w:val="24"/>
          <w14:textFill>
            <w14:solidFill>
              <w14:schemeClr w14:val="tx1"/>
            </w14:solidFill>
          </w14:textFill>
        </w:rPr>
        <w:sectPr>
          <w:headerReference r:id="rId7" w:type="default"/>
          <w:pgSz w:w="11906" w:h="16838"/>
          <w:pgMar w:top="1440" w:right="1800" w:bottom="1440" w:left="1800" w:header="851" w:footer="992" w:gutter="0"/>
          <w:cols w:space="720" w:num="1"/>
          <w:docGrid w:type="lines" w:linePitch="312" w:charSpace="0"/>
        </w:sect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（本页无正文，为《大成中证AAA科技创新公司债交易型开放式指数证券投资基金基金合同》签署页）</w:t>
      </w:r>
    </w:p>
    <w:p>
      <w:pPr>
        <w:tabs>
          <w:tab w:val="left" w:pos="4875"/>
        </w:tabs>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ab/>
      </w: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基金管理人：大成基金管理有限公司（盖章）</w:t>
      </w: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 xml:space="preserve">法定代表人或授权代表（签字或签章）： </w:t>
      </w: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基金托管人：</w:t>
      </w:r>
      <w:r>
        <w:rPr>
          <w:rFonts w:hint="eastAsia"/>
          <w:bCs/>
          <w:color w:val="000000" w:themeColor="text1"/>
          <w:sz w:val="24"/>
          <w14:textFill>
            <w14:solidFill>
              <w14:schemeClr w14:val="tx1"/>
            </w14:solidFill>
          </w14:textFill>
        </w:rPr>
        <w:t>中国建设银行股份有限公司</w:t>
      </w:r>
      <w:r>
        <w:rPr>
          <w:rFonts w:hint="eastAsia"/>
          <w:bCs/>
          <w:color w:val="000000" w:themeColor="text1"/>
          <w:sz w:val="24"/>
          <w:szCs w:val="24"/>
          <w14:textFill>
            <w14:solidFill>
              <w14:schemeClr w14:val="tx1"/>
            </w14:solidFill>
          </w14:textFill>
        </w:rPr>
        <w:t>（盖章）</w:t>
      </w: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 xml:space="preserve">法定代表人或授权代表（签字或签章）： </w:t>
      </w: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 xml:space="preserve">签订地点： </w:t>
      </w:r>
    </w:p>
    <w:p>
      <w:pPr>
        <w:autoSpaceDE w:val="0"/>
        <w:autoSpaceDN w:val="0"/>
        <w:adjustRightInd w:val="0"/>
        <w:spacing w:line="360" w:lineRule="auto"/>
        <w:ind w:firstLine="480" w:firstLineChars="200"/>
        <w:jc w:val="left"/>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签 订 日：    年    月    日</w:t>
      </w:r>
    </w:p>
    <w:p>
      <w:pPr>
        <w:autoSpaceDE w:val="0"/>
        <w:autoSpaceDN w:val="0"/>
        <w:adjustRightInd w:val="0"/>
        <w:spacing w:line="360" w:lineRule="auto"/>
        <w:ind w:right="960"/>
        <w:rPr>
          <w:bCs/>
          <w:color w:val="000000" w:themeColor="text1"/>
          <w14:textFill>
            <w14:solidFill>
              <w14:schemeClr w14:val="tx1"/>
            </w14:solidFill>
          </w14:textFill>
        </w:rPr>
      </w:pPr>
    </w:p>
    <w:bookmarkEnd w:id="0"/>
    <w:p>
      <w:pPr>
        <w:autoSpaceDE w:val="0"/>
        <w:autoSpaceDN w:val="0"/>
        <w:adjustRightInd w:val="0"/>
        <w:spacing w:line="360" w:lineRule="auto"/>
        <w:ind w:firstLine="420" w:firstLineChars="200"/>
        <w:jc w:val="right"/>
        <w:rPr>
          <w:bCs/>
          <w:color w:val="000000" w:themeColor="text1"/>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Align="top"/>
    </w:pPr>
    <w:r>
      <w:rPr>
        <w:rFonts w:hint="eastAsia"/>
      </w:rPr>
      <w:fldChar w:fldCharType="begin"/>
    </w:r>
    <w:r>
      <w:rPr>
        <w:rStyle w:val="25"/>
        <w:rFonts w:hint="eastAsia"/>
      </w:rPr>
      <w:instrText xml:space="preserve"> PAGE  </w:instrText>
    </w:r>
    <w:r>
      <w:rPr>
        <w:rFonts w:hint="eastAsia"/>
      </w:rPr>
      <w:fldChar w:fldCharType="separate"/>
    </w:r>
    <w:r>
      <w:rPr>
        <w:rStyle w:val="25"/>
      </w:rPr>
      <w:t>1</w:t>
    </w:r>
    <w:r>
      <w:rPr>
        <w:rFonts w:hint="eastAsia"/>
      </w:rPr>
      <w:fldChar w:fldCharType="end"/>
    </w:r>
  </w:p>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ckThinLargeGap" w:color="auto" w:sz="24" w:space="10"/>
      </w:pBdr>
      <w:tabs>
        <w:tab w:val="right" w:pos="8280"/>
      </w:tabs>
      <w:wordWrap w:val="0"/>
      <w:adjustRightInd w:val="0"/>
      <w:jc w:val="both"/>
    </w:pPr>
    <w:r>
      <w:rPr>
        <w:rFonts w:hint="eastAsia"/>
        <w:color w:val="000000"/>
      </w:rPr>
      <w:t>XXXX</w:t>
    </w:r>
    <w:r>
      <w:rPr>
        <w:rFonts w:hint="eastAsia"/>
      </w:rPr>
      <w:t>证券投资基金                             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ckThinLargeGap" w:color="auto" w:sz="24" w:space="10"/>
      </w:pBdr>
      <w:tabs>
        <w:tab w:val="right" w:pos="8280"/>
      </w:tabs>
      <w:adjustRightInd w:val="0"/>
      <w:jc w:val="left"/>
      <w:rPr>
        <w:color w:val="000000"/>
      </w:rPr>
    </w:pPr>
    <w:r>
      <w:rPr>
        <w:rFonts w:hint="eastAsia"/>
        <w:color w:val="000000"/>
      </w:rPr>
      <w:t>大成中证AAA科技创新公司债交易型开放式指数证券投资基金</w:t>
    </w:r>
    <w:r>
      <w:rPr>
        <w:rFonts w:hint="eastAsia"/>
      </w:rPr>
      <w:t xml:space="preserve">           </w:t>
    </w:r>
    <w:r>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ckThinLargeGap" w:color="auto" w:sz="24" w:space="10"/>
      </w:pBdr>
      <w:tabs>
        <w:tab w:val="right" w:pos="8280"/>
      </w:tabs>
      <w:adjustRightInd w:val="0"/>
      <w:jc w:val="left"/>
      <w:rPr>
        <w:color w:val="000000"/>
      </w:rPr>
    </w:pPr>
    <w:r>
      <w:rPr>
        <w:rFonts w:hint="eastAsia"/>
      </w:rPr>
      <w:t>大成中证</w:t>
    </w:r>
    <w:r>
      <w:t>AAA</w:t>
    </w:r>
    <w:r>
      <w:rPr>
        <w:rFonts w:hint="eastAsia"/>
      </w:rPr>
      <w:t xml:space="preserve">科技创新公司债交易型开放式指数证券投资基金           </w:t>
    </w:r>
    <w: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4"/>
      <w:numFmt w:val="chineseCounting"/>
      <w:suff w:val="nothing"/>
      <w:lvlText w:val="%1、"/>
      <w:lvlJc w:val="left"/>
    </w:lvl>
  </w:abstractNum>
  <w:abstractNum w:abstractNumId="1">
    <w:nsid w:val="00000008"/>
    <w:multiLevelType w:val="singleLevel"/>
    <w:tmpl w:val="00000008"/>
    <w:lvl w:ilvl="0" w:tentative="0">
      <w:start w:val="1"/>
      <w:numFmt w:val="bullet"/>
      <w:pStyle w:val="48"/>
      <w:lvlText w:val=""/>
      <w:lvlJc w:val="left"/>
      <w:pPr>
        <w:tabs>
          <w:tab w:val="left" w:pos="360"/>
        </w:tabs>
        <w:ind w:left="360" w:hanging="360"/>
      </w:pPr>
      <w:rPr>
        <w:rFonts w:hint="default" w:ascii="Symbol" w:hAnsi="Symbol"/>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NzA0MTM0NjVlZDYwODM0MWFhMWJkNzE5NmUxNGEifQ=="/>
  </w:docVars>
  <w:rsids>
    <w:rsidRoot w:val="00172A27"/>
    <w:rsid w:val="000037A9"/>
    <w:rsid w:val="00004001"/>
    <w:rsid w:val="00016F1E"/>
    <w:rsid w:val="00025135"/>
    <w:rsid w:val="0002654C"/>
    <w:rsid w:val="000359BB"/>
    <w:rsid w:val="00036394"/>
    <w:rsid w:val="00044D25"/>
    <w:rsid w:val="00047515"/>
    <w:rsid w:val="00047A20"/>
    <w:rsid w:val="0005003E"/>
    <w:rsid w:val="00051D0E"/>
    <w:rsid w:val="00057515"/>
    <w:rsid w:val="0006056E"/>
    <w:rsid w:val="00065F3D"/>
    <w:rsid w:val="00070150"/>
    <w:rsid w:val="000712C4"/>
    <w:rsid w:val="000804DD"/>
    <w:rsid w:val="00082B4D"/>
    <w:rsid w:val="00086EE2"/>
    <w:rsid w:val="00093CBA"/>
    <w:rsid w:val="0009547F"/>
    <w:rsid w:val="000A12C1"/>
    <w:rsid w:val="000A242A"/>
    <w:rsid w:val="000A5BDC"/>
    <w:rsid w:val="000A6A7F"/>
    <w:rsid w:val="000A717A"/>
    <w:rsid w:val="000B39ED"/>
    <w:rsid w:val="000B77F0"/>
    <w:rsid w:val="000B7B90"/>
    <w:rsid w:val="000C2BF3"/>
    <w:rsid w:val="000C3C71"/>
    <w:rsid w:val="000D2131"/>
    <w:rsid w:val="000D3909"/>
    <w:rsid w:val="000D5643"/>
    <w:rsid w:val="000D695B"/>
    <w:rsid w:val="000E062C"/>
    <w:rsid w:val="000E1179"/>
    <w:rsid w:val="000E30B9"/>
    <w:rsid w:val="000E583C"/>
    <w:rsid w:val="000E59F2"/>
    <w:rsid w:val="000E6C80"/>
    <w:rsid w:val="000E7761"/>
    <w:rsid w:val="000F2ABC"/>
    <w:rsid w:val="000F5875"/>
    <w:rsid w:val="000F5FC6"/>
    <w:rsid w:val="000F73AF"/>
    <w:rsid w:val="001006F8"/>
    <w:rsid w:val="00102171"/>
    <w:rsid w:val="0010360F"/>
    <w:rsid w:val="00107F31"/>
    <w:rsid w:val="00112430"/>
    <w:rsid w:val="00112A2C"/>
    <w:rsid w:val="00114203"/>
    <w:rsid w:val="001146A7"/>
    <w:rsid w:val="00117406"/>
    <w:rsid w:val="0012146F"/>
    <w:rsid w:val="00121607"/>
    <w:rsid w:val="00121D76"/>
    <w:rsid w:val="00123715"/>
    <w:rsid w:val="00126BF8"/>
    <w:rsid w:val="001306F5"/>
    <w:rsid w:val="001335BC"/>
    <w:rsid w:val="001373F0"/>
    <w:rsid w:val="0013757D"/>
    <w:rsid w:val="001402E6"/>
    <w:rsid w:val="00140D62"/>
    <w:rsid w:val="00146815"/>
    <w:rsid w:val="00147D1A"/>
    <w:rsid w:val="00152C69"/>
    <w:rsid w:val="00153C30"/>
    <w:rsid w:val="001558A3"/>
    <w:rsid w:val="00155EEC"/>
    <w:rsid w:val="00157336"/>
    <w:rsid w:val="00164C96"/>
    <w:rsid w:val="00171F4C"/>
    <w:rsid w:val="00172A27"/>
    <w:rsid w:val="00177FD9"/>
    <w:rsid w:val="0018084C"/>
    <w:rsid w:val="00187BFB"/>
    <w:rsid w:val="00192D16"/>
    <w:rsid w:val="001A4350"/>
    <w:rsid w:val="001B0476"/>
    <w:rsid w:val="001B1AFD"/>
    <w:rsid w:val="001B3298"/>
    <w:rsid w:val="001B7A62"/>
    <w:rsid w:val="001C15F9"/>
    <w:rsid w:val="001C5EB5"/>
    <w:rsid w:val="001C740C"/>
    <w:rsid w:val="001D11B4"/>
    <w:rsid w:val="001D153D"/>
    <w:rsid w:val="001E122F"/>
    <w:rsid w:val="001E4CA2"/>
    <w:rsid w:val="001F01B2"/>
    <w:rsid w:val="001F1692"/>
    <w:rsid w:val="001F3E21"/>
    <w:rsid w:val="001F4339"/>
    <w:rsid w:val="001F443A"/>
    <w:rsid w:val="001F553A"/>
    <w:rsid w:val="001F5ABA"/>
    <w:rsid w:val="00210F7D"/>
    <w:rsid w:val="00212C3D"/>
    <w:rsid w:val="00214927"/>
    <w:rsid w:val="00215DE5"/>
    <w:rsid w:val="002234F4"/>
    <w:rsid w:val="00223FAE"/>
    <w:rsid w:val="00237654"/>
    <w:rsid w:val="00237E0F"/>
    <w:rsid w:val="0024199D"/>
    <w:rsid w:val="00244138"/>
    <w:rsid w:val="0024577F"/>
    <w:rsid w:val="00245970"/>
    <w:rsid w:val="00245DEC"/>
    <w:rsid w:val="002477FF"/>
    <w:rsid w:val="002501E0"/>
    <w:rsid w:val="0025412C"/>
    <w:rsid w:val="002574C1"/>
    <w:rsid w:val="00257E0F"/>
    <w:rsid w:val="0026418E"/>
    <w:rsid w:val="00264874"/>
    <w:rsid w:val="00272207"/>
    <w:rsid w:val="002729A9"/>
    <w:rsid w:val="00272CE6"/>
    <w:rsid w:val="0027521B"/>
    <w:rsid w:val="0028161A"/>
    <w:rsid w:val="00281620"/>
    <w:rsid w:val="00283E11"/>
    <w:rsid w:val="00284291"/>
    <w:rsid w:val="002858C7"/>
    <w:rsid w:val="00285A5F"/>
    <w:rsid w:val="002926B5"/>
    <w:rsid w:val="0029541C"/>
    <w:rsid w:val="002A60FE"/>
    <w:rsid w:val="002B0677"/>
    <w:rsid w:val="002B0E0F"/>
    <w:rsid w:val="002B0E2C"/>
    <w:rsid w:val="002B31DA"/>
    <w:rsid w:val="002B3790"/>
    <w:rsid w:val="002B78A3"/>
    <w:rsid w:val="002C1210"/>
    <w:rsid w:val="002C1256"/>
    <w:rsid w:val="002C2654"/>
    <w:rsid w:val="002C3A01"/>
    <w:rsid w:val="002D0F24"/>
    <w:rsid w:val="002D0FBD"/>
    <w:rsid w:val="002D1AF8"/>
    <w:rsid w:val="002D5121"/>
    <w:rsid w:val="002D5DF1"/>
    <w:rsid w:val="002D60DA"/>
    <w:rsid w:val="002D71E3"/>
    <w:rsid w:val="002E13BF"/>
    <w:rsid w:val="002E38A7"/>
    <w:rsid w:val="002E446F"/>
    <w:rsid w:val="002E496B"/>
    <w:rsid w:val="002E599B"/>
    <w:rsid w:val="002F1A61"/>
    <w:rsid w:val="002F2C53"/>
    <w:rsid w:val="002F5D9B"/>
    <w:rsid w:val="002F7415"/>
    <w:rsid w:val="00303FFF"/>
    <w:rsid w:val="003112CF"/>
    <w:rsid w:val="00312736"/>
    <w:rsid w:val="003141DE"/>
    <w:rsid w:val="00315C03"/>
    <w:rsid w:val="0031695C"/>
    <w:rsid w:val="00326EF3"/>
    <w:rsid w:val="00327627"/>
    <w:rsid w:val="00327B3C"/>
    <w:rsid w:val="0033099E"/>
    <w:rsid w:val="00330B8D"/>
    <w:rsid w:val="00332090"/>
    <w:rsid w:val="00333BA1"/>
    <w:rsid w:val="00333C40"/>
    <w:rsid w:val="00335F93"/>
    <w:rsid w:val="00336FA0"/>
    <w:rsid w:val="0034260F"/>
    <w:rsid w:val="00342A9A"/>
    <w:rsid w:val="00343537"/>
    <w:rsid w:val="00344712"/>
    <w:rsid w:val="0035145A"/>
    <w:rsid w:val="003552F7"/>
    <w:rsid w:val="003566A1"/>
    <w:rsid w:val="0036015A"/>
    <w:rsid w:val="00361ABC"/>
    <w:rsid w:val="0036393A"/>
    <w:rsid w:val="00366B51"/>
    <w:rsid w:val="00371408"/>
    <w:rsid w:val="003726F6"/>
    <w:rsid w:val="00373719"/>
    <w:rsid w:val="0037525C"/>
    <w:rsid w:val="00376B9E"/>
    <w:rsid w:val="003773B0"/>
    <w:rsid w:val="003930FE"/>
    <w:rsid w:val="00396D67"/>
    <w:rsid w:val="003A03B3"/>
    <w:rsid w:val="003A27F1"/>
    <w:rsid w:val="003A7ED7"/>
    <w:rsid w:val="003A7F78"/>
    <w:rsid w:val="003B2DEF"/>
    <w:rsid w:val="003B6432"/>
    <w:rsid w:val="003C1075"/>
    <w:rsid w:val="003C391D"/>
    <w:rsid w:val="003C4C26"/>
    <w:rsid w:val="003C7879"/>
    <w:rsid w:val="003D2DCF"/>
    <w:rsid w:val="003D4AA0"/>
    <w:rsid w:val="003D53E3"/>
    <w:rsid w:val="003E01D2"/>
    <w:rsid w:val="003E1C95"/>
    <w:rsid w:val="003E7025"/>
    <w:rsid w:val="003F293F"/>
    <w:rsid w:val="003F32C3"/>
    <w:rsid w:val="003F51F9"/>
    <w:rsid w:val="003F5C90"/>
    <w:rsid w:val="003F7E26"/>
    <w:rsid w:val="00400371"/>
    <w:rsid w:val="00403F76"/>
    <w:rsid w:val="00410B5A"/>
    <w:rsid w:val="004117C1"/>
    <w:rsid w:val="00413055"/>
    <w:rsid w:val="0042013A"/>
    <w:rsid w:val="00426658"/>
    <w:rsid w:val="0043002A"/>
    <w:rsid w:val="004323ED"/>
    <w:rsid w:val="00433472"/>
    <w:rsid w:val="00433636"/>
    <w:rsid w:val="00433AEA"/>
    <w:rsid w:val="0043784A"/>
    <w:rsid w:val="004378EE"/>
    <w:rsid w:val="004413E2"/>
    <w:rsid w:val="00444489"/>
    <w:rsid w:val="004460B3"/>
    <w:rsid w:val="00446D01"/>
    <w:rsid w:val="00453AC3"/>
    <w:rsid w:val="00454E13"/>
    <w:rsid w:val="00455050"/>
    <w:rsid w:val="00455DA1"/>
    <w:rsid w:val="0046050E"/>
    <w:rsid w:val="00460776"/>
    <w:rsid w:val="00460989"/>
    <w:rsid w:val="0046106A"/>
    <w:rsid w:val="00470A81"/>
    <w:rsid w:val="00470EC9"/>
    <w:rsid w:val="00472F75"/>
    <w:rsid w:val="00473827"/>
    <w:rsid w:val="004810A3"/>
    <w:rsid w:val="00486848"/>
    <w:rsid w:val="00486D64"/>
    <w:rsid w:val="0049040F"/>
    <w:rsid w:val="004923B4"/>
    <w:rsid w:val="00495395"/>
    <w:rsid w:val="004A180C"/>
    <w:rsid w:val="004A453D"/>
    <w:rsid w:val="004A5132"/>
    <w:rsid w:val="004A5A51"/>
    <w:rsid w:val="004B2D00"/>
    <w:rsid w:val="004B3479"/>
    <w:rsid w:val="004B4549"/>
    <w:rsid w:val="004B562D"/>
    <w:rsid w:val="004C3335"/>
    <w:rsid w:val="004C3CC1"/>
    <w:rsid w:val="004C4DBF"/>
    <w:rsid w:val="004C78C9"/>
    <w:rsid w:val="004D38DB"/>
    <w:rsid w:val="004D47FB"/>
    <w:rsid w:val="004D50A2"/>
    <w:rsid w:val="004D61B2"/>
    <w:rsid w:val="004E48DE"/>
    <w:rsid w:val="004E4BFF"/>
    <w:rsid w:val="004F6487"/>
    <w:rsid w:val="0050073F"/>
    <w:rsid w:val="00501CD9"/>
    <w:rsid w:val="005047B1"/>
    <w:rsid w:val="00514392"/>
    <w:rsid w:val="00514427"/>
    <w:rsid w:val="005211BB"/>
    <w:rsid w:val="0052459A"/>
    <w:rsid w:val="00526DFD"/>
    <w:rsid w:val="00527C20"/>
    <w:rsid w:val="00531297"/>
    <w:rsid w:val="00534470"/>
    <w:rsid w:val="0053558E"/>
    <w:rsid w:val="005361B6"/>
    <w:rsid w:val="005368A9"/>
    <w:rsid w:val="00554424"/>
    <w:rsid w:val="005547CF"/>
    <w:rsid w:val="005561D4"/>
    <w:rsid w:val="00560393"/>
    <w:rsid w:val="00560AF2"/>
    <w:rsid w:val="00561304"/>
    <w:rsid w:val="00566A60"/>
    <w:rsid w:val="00567534"/>
    <w:rsid w:val="005707ED"/>
    <w:rsid w:val="00573650"/>
    <w:rsid w:val="00575793"/>
    <w:rsid w:val="00576F62"/>
    <w:rsid w:val="005779E3"/>
    <w:rsid w:val="00581AAC"/>
    <w:rsid w:val="00584B01"/>
    <w:rsid w:val="00591987"/>
    <w:rsid w:val="00592DB9"/>
    <w:rsid w:val="00593999"/>
    <w:rsid w:val="00594A66"/>
    <w:rsid w:val="005A159C"/>
    <w:rsid w:val="005B2A18"/>
    <w:rsid w:val="005B44E0"/>
    <w:rsid w:val="005B4781"/>
    <w:rsid w:val="005C63F9"/>
    <w:rsid w:val="005C68EB"/>
    <w:rsid w:val="005C7E33"/>
    <w:rsid w:val="005D65F1"/>
    <w:rsid w:val="005D7943"/>
    <w:rsid w:val="005E2464"/>
    <w:rsid w:val="005E7ECD"/>
    <w:rsid w:val="005F09CF"/>
    <w:rsid w:val="005F174B"/>
    <w:rsid w:val="005F4A67"/>
    <w:rsid w:val="005F4C22"/>
    <w:rsid w:val="005F6C46"/>
    <w:rsid w:val="005F7793"/>
    <w:rsid w:val="00600A10"/>
    <w:rsid w:val="006059BE"/>
    <w:rsid w:val="00605B59"/>
    <w:rsid w:val="00605B9F"/>
    <w:rsid w:val="00607204"/>
    <w:rsid w:val="006139EE"/>
    <w:rsid w:val="00613EF5"/>
    <w:rsid w:val="00613F07"/>
    <w:rsid w:val="00614437"/>
    <w:rsid w:val="00616C79"/>
    <w:rsid w:val="00617EFD"/>
    <w:rsid w:val="00623A10"/>
    <w:rsid w:val="00630C8D"/>
    <w:rsid w:val="006328EC"/>
    <w:rsid w:val="006362DD"/>
    <w:rsid w:val="00636521"/>
    <w:rsid w:val="0063679E"/>
    <w:rsid w:val="00636901"/>
    <w:rsid w:val="00637129"/>
    <w:rsid w:val="00637433"/>
    <w:rsid w:val="0063767A"/>
    <w:rsid w:val="006408CE"/>
    <w:rsid w:val="006413B6"/>
    <w:rsid w:val="00642262"/>
    <w:rsid w:val="00653853"/>
    <w:rsid w:val="00654A6E"/>
    <w:rsid w:val="00655B99"/>
    <w:rsid w:val="006617FF"/>
    <w:rsid w:val="00662426"/>
    <w:rsid w:val="00662D0C"/>
    <w:rsid w:val="00665FF1"/>
    <w:rsid w:val="006661E5"/>
    <w:rsid w:val="00670028"/>
    <w:rsid w:val="00670352"/>
    <w:rsid w:val="00671401"/>
    <w:rsid w:val="00672908"/>
    <w:rsid w:val="00673B41"/>
    <w:rsid w:val="00674426"/>
    <w:rsid w:val="00675572"/>
    <w:rsid w:val="00675977"/>
    <w:rsid w:val="00677400"/>
    <w:rsid w:val="00677B8B"/>
    <w:rsid w:val="006819E2"/>
    <w:rsid w:val="00685D58"/>
    <w:rsid w:val="00690408"/>
    <w:rsid w:val="00693EDB"/>
    <w:rsid w:val="00697C7D"/>
    <w:rsid w:val="006A149F"/>
    <w:rsid w:val="006B05BE"/>
    <w:rsid w:val="006B1BB5"/>
    <w:rsid w:val="006B1F88"/>
    <w:rsid w:val="006B55EC"/>
    <w:rsid w:val="006B694A"/>
    <w:rsid w:val="006B6C86"/>
    <w:rsid w:val="006C05D5"/>
    <w:rsid w:val="006C069B"/>
    <w:rsid w:val="006C3B8D"/>
    <w:rsid w:val="006C4CB2"/>
    <w:rsid w:val="006D031F"/>
    <w:rsid w:val="006D30C6"/>
    <w:rsid w:val="006D4A47"/>
    <w:rsid w:val="006D7678"/>
    <w:rsid w:val="006D7E46"/>
    <w:rsid w:val="006F1180"/>
    <w:rsid w:val="006F119A"/>
    <w:rsid w:val="006F1B5B"/>
    <w:rsid w:val="006F37A5"/>
    <w:rsid w:val="006F4046"/>
    <w:rsid w:val="006F4FE3"/>
    <w:rsid w:val="006F5169"/>
    <w:rsid w:val="006F7629"/>
    <w:rsid w:val="00722BFD"/>
    <w:rsid w:val="007243D1"/>
    <w:rsid w:val="00725A5C"/>
    <w:rsid w:val="00732C3A"/>
    <w:rsid w:val="00733721"/>
    <w:rsid w:val="00733775"/>
    <w:rsid w:val="00737F16"/>
    <w:rsid w:val="00740458"/>
    <w:rsid w:val="007412B3"/>
    <w:rsid w:val="00744B78"/>
    <w:rsid w:val="00744E63"/>
    <w:rsid w:val="00750D27"/>
    <w:rsid w:val="00756F46"/>
    <w:rsid w:val="00760F95"/>
    <w:rsid w:val="0076241C"/>
    <w:rsid w:val="00766D07"/>
    <w:rsid w:val="00767562"/>
    <w:rsid w:val="00767F26"/>
    <w:rsid w:val="00773B55"/>
    <w:rsid w:val="00776039"/>
    <w:rsid w:val="00781191"/>
    <w:rsid w:val="00781428"/>
    <w:rsid w:val="00782B02"/>
    <w:rsid w:val="00786C6F"/>
    <w:rsid w:val="00790572"/>
    <w:rsid w:val="007915F0"/>
    <w:rsid w:val="00791F0E"/>
    <w:rsid w:val="00793AF7"/>
    <w:rsid w:val="007952FC"/>
    <w:rsid w:val="0079754F"/>
    <w:rsid w:val="007A1C8D"/>
    <w:rsid w:val="007A7C8C"/>
    <w:rsid w:val="007B075C"/>
    <w:rsid w:val="007B3F84"/>
    <w:rsid w:val="007B4932"/>
    <w:rsid w:val="007B69FF"/>
    <w:rsid w:val="007C2461"/>
    <w:rsid w:val="007C2CA7"/>
    <w:rsid w:val="007C3DBA"/>
    <w:rsid w:val="007C475B"/>
    <w:rsid w:val="007C6415"/>
    <w:rsid w:val="007D14BC"/>
    <w:rsid w:val="007D35F1"/>
    <w:rsid w:val="007D46E7"/>
    <w:rsid w:val="007D7655"/>
    <w:rsid w:val="007D789B"/>
    <w:rsid w:val="007E12B0"/>
    <w:rsid w:val="007E329A"/>
    <w:rsid w:val="007E37A6"/>
    <w:rsid w:val="007E3A65"/>
    <w:rsid w:val="007E68A0"/>
    <w:rsid w:val="007E7BAE"/>
    <w:rsid w:val="007F1737"/>
    <w:rsid w:val="008010FA"/>
    <w:rsid w:val="00805EB7"/>
    <w:rsid w:val="008062D4"/>
    <w:rsid w:val="00806FF6"/>
    <w:rsid w:val="00814B53"/>
    <w:rsid w:val="008153D6"/>
    <w:rsid w:val="00817493"/>
    <w:rsid w:val="0082336E"/>
    <w:rsid w:val="00824CA8"/>
    <w:rsid w:val="00832316"/>
    <w:rsid w:val="00835FF3"/>
    <w:rsid w:val="00840299"/>
    <w:rsid w:val="00843D0F"/>
    <w:rsid w:val="00857110"/>
    <w:rsid w:val="00857AF1"/>
    <w:rsid w:val="00860C00"/>
    <w:rsid w:val="0086228F"/>
    <w:rsid w:val="00864A13"/>
    <w:rsid w:val="00865A4A"/>
    <w:rsid w:val="00865B22"/>
    <w:rsid w:val="00882B6E"/>
    <w:rsid w:val="00887A56"/>
    <w:rsid w:val="008912DB"/>
    <w:rsid w:val="00891F3F"/>
    <w:rsid w:val="00895986"/>
    <w:rsid w:val="00895A80"/>
    <w:rsid w:val="008969FB"/>
    <w:rsid w:val="00897612"/>
    <w:rsid w:val="008A0DDA"/>
    <w:rsid w:val="008A6BA7"/>
    <w:rsid w:val="008B606C"/>
    <w:rsid w:val="008C1E55"/>
    <w:rsid w:val="008C2755"/>
    <w:rsid w:val="008C3D84"/>
    <w:rsid w:val="008C79F5"/>
    <w:rsid w:val="008D1B4B"/>
    <w:rsid w:val="008D1C93"/>
    <w:rsid w:val="008D29BA"/>
    <w:rsid w:val="008D5B38"/>
    <w:rsid w:val="008E19B5"/>
    <w:rsid w:val="008E1ADC"/>
    <w:rsid w:val="008E6DD9"/>
    <w:rsid w:val="008E777D"/>
    <w:rsid w:val="008F0B93"/>
    <w:rsid w:val="008F37D9"/>
    <w:rsid w:val="008F3DE3"/>
    <w:rsid w:val="008F7A02"/>
    <w:rsid w:val="009139DD"/>
    <w:rsid w:val="00915051"/>
    <w:rsid w:val="009164FF"/>
    <w:rsid w:val="00917AC7"/>
    <w:rsid w:val="00921F25"/>
    <w:rsid w:val="00922644"/>
    <w:rsid w:val="009248CB"/>
    <w:rsid w:val="009248DC"/>
    <w:rsid w:val="00931375"/>
    <w:rsid w:val="009341DC"/>
    <w:rsid w:val="009347BA"/>
    <w:rsid w:val="0093537E"/>
    <w:rsid w:val="009430C1"/>
    <w:rsid w:val="00944477"/>
    <w:rsid w:val="00945130"/>
    <w:rsid w:val="009564AD"/>
    <w:rsid w:val="00957380"/>
    <w:rsid w:val="00962F95"/>
    <w:rsid w:val="009663CB"/>
    <w:rsid w:val="00974EB4"/>
    <w:rsid w:val="00977ED1"/>
    <w:rsid w:val="00980AF8"/>
    <w:rsid w:val="009829DE"/>
    <w:rsid w:val="00983B71"/>
    <w:rsid w:val="00983CF6"/>
    <w:rsid w:val="00986F47"/>
    <w:rsid w:val="00987C15"/>
    <w:rsid w:val="009969C5"/>
    <w:rsid w:val="0099705B"/>
    <w:rsid w:val="009A1F6C"/>
    <w:rsid w:val="009A3A80"/>
    <w:rsid w:val="009B30D0"/>
    <w:rsid w:val="009B4CAC"/>
    <w:rsid w:val="009B5DCF"/>
    <w:rsid w:val="009C04A3"/>
    <w:rsid w:val="009C323A"/>
    <w:rsid w:val="009D3C26"/>
    <w:rsid w:val="009D76AC"/>
    <w:rsid w:val="009D79DD"/>
    <w:rsid w:val="009E3E56"/>
    <w:rsid w:val="009E5BCB"/>
    <w:rsid w:val="009F0133"/>
    <w:rsid w:val="009F1A1D"/>
    <w:rsid w:val="00A00FDE"/>
    <w:rsid w:val="00A02D9C"/>
    <w:rsid w:val="00A06C4C"/>
    <w:rsid w:val="00A123F5"/>
    <w:rsid w:val="00A15A42"/>
    <w:rsid w:val="00A16D41"/>
    <w:rsid w:val="00A2282C"/>
    <w:rsid w:val="00A237C4"/>
    <w:rsid w:val="00A23CFB"/>
    <w:rsid w:val="00A252BA"/>
    <w:rsid w:val="00A25649"/>
    <w:rsid w:val="00A30AF3"/>
    <w:rsid w:val="00A30FF8"/>
    <w:rsid w:val="00A312EA"/>
    <w:rsid w:val="00A33176"/>
    <w:rsid w:val="00A33A0D"/>
    <w:rsid w:val="00A33F4C"/>
    <w:rsid w:val="00A35266"/>
    <w:rsid w:val="00A45FB9"/>
    <w:rsid w:val="00A46AA9"/>
    <w:rsid w:val="00A473E8"/>
    <w:rsid w:val="00A500F0"/>
    <w:rsid w:val="00A505DE"/>
    <w:rsid w:val="00A5169D"/>
    <w:rsid w:val="00A55583"/>
    <w:rsid w:val="00A55EBC"/>
    <w:rsid w:val="00A56C3A"/>
    <w:rsid w:val="00A56F3A"/>
    <w:rsid w:val="00A60068"/>
    <w:rsid w:val="00A61307"/>
    <w:rsid w:val="00A6455E"/>
    <w:rsid w:val="00A665AD"/>
    <w:rsid w:val="00A72D1E"/>
    <w:rsid w:val="00A74099"/>
    <w:rsid w:val="00A74363"/>
    <w:rsid w:val="00A7545E"/>
    <w:rsid w:val="00A80470"/>
    <w:rsid w:val="00A822BF"/>
    <w:rsid w:val="00A826C6"/>
    <w:rsid w:val="00A82C82"/>
    <w:rsid w:val="00A84A1E"/>
    <w:rsid w:val="00A84BD1"/>
    <w:rsid w:val="00A86914"/>
    <w:rsid w:val="00A87A0D"/>
    <w:rsid w:val="00A90F91"/>
    <w:rsid w:val="00A91047"/>
    <w:rsid w:val="00A94DDC"/>
    <w:rsid w:val="00A96D83"/>
    <w:rsid w:val="00AA0E9E"/>
    <w:rsid w:val="00AA13EF"/>
    <w:rsid w:val="00AA2D41"/>
    <w:rsid w:val="00AA4330"/>
    <w:rsid w:val="00AA61A0"/>
    <w:rsid w:val="00AB21E9"/>
    <w:rsid w:val="00AB361A"/>
    <w:rsid w:val="00AB44FA"/>
    <w:rsid w:val="00AB7697"/>
    <w:rsid w:val="00AC0911"/>
    <w:rsid w:val="00AC163A"/>
    <w:rsid w:val="00AC2D27"/>
    <w:rsid w:val="00AD0A5C"/>
    <w:rsid w:val="00AE0694"/>
    <w:rsid w:val="00AE0D80"/>
    <w:rsid w:val="00AE1799"/>
    <w:rsid w:val="00AE20B7"/>
    <w:rsid w:val="00AE6A09"/>
    <w:rsid w:val="00AF3126"/>
    <w:rsid w:val="00AF6769"/>
    <w:rsid w:val="00AF6F32"/>
    <w:rsid w:val="00AF7A3D"/>
    <w:rsid w:val="00B023DF"/>
    <w:rsid w:val="00B053DE"/>
    <w:rsid w:val="00B058D5"/>
    <w:rsid w:val="00B05F58"/>
    <w:rsid w:val="00B20444"/>
    <w:rsid w:val="00B222D7"/>
    <w:rsid w:val="00B22E70"/>
    <w:rsid w:val="00B24F88"/>
    <w:rsid w:val="00B25EB2"/>
    <w:rsid w:val="00B270D1"/>
    <w:rsid w:val="00B30CE9"/>
    <w:rsid w:val="00B40E1F"/>
    <w:rsid w:val="00B42711"/>
    <w:rsid w:val="00B43BB3"/>
    <w:rsid w:val="00B500CF"/>
    <w:rsid w:val="00B53325"/>
    <w:rsid w:val="00B53952"/>
    <w:rsid w:val="00B53ACB"/>
    <w:rsid w:val="00B53B21"/>
    <w:rsid w:val="00B62A87"/>
    <w:rsid w:val="00B62C01"/>
    <w:rsid w:val="00B73D50"/>
    <w:rsid w:val="00B74E53"/>
    <w:rsid w:val="00B80801"/>
    <w:rsid w:val="00B872F7"/>
    <w:rsid w:val="00B87E9B"/>
    <w:rsid w:val="00B97B31"/>
    <w:rsid w:val="00BA0EFF"/>
    <w:rsid w:val="00BA159B"/>
    <w:rsid w:val="00BB14E7"/>
    <w:rsid w:val="00BB1B6F"/>
    <w:rsid w:val="00BB4461"/>
    <w:rsid w:val="00BB44D8"/>
    <w:rsid w:val="00BB63B6"/>
    <w:rsid w:val="00BB64E4"/>
    <w:rsid w:val="00BB6DA2"/>
    <w:rsid w:val="00BC5A58"/>
    <w:rsid w:val="00BD1464"/>
    <w:rsid w:val="00BD1B2B"/>
    <w:rsid w:val="00BD1D5A"/>
    <w:rsid w:val="00BD5B70"/>
    <w:rsid w:val="00BE1C4F"/>
    <w:rsid w:val="00BE6C14"/>
    <w:rsid w:val="00BF5CE2"/>
    <w:rsid w:val="00C005E8"/>
    <w:rsid w:val="00C02A42"/>
    <w:rsid w:val="00C10221"/>
    <w:rsid w:val="00C11208"/>
    <w:rsid w:val="00C11E52"/>
    <w:rsid w:val="00C20C15"/>
    <w:rsid w:val="00C21146"/>
    <w:rsid w:val="00C30334"/>
    <w:rsid w:val="00C31FBF"/>
    <w:rsid w:val="00C339B9"/>
    <w:rsid w:val="00C33BBE"/>
    <w:rsid w:val="00C355B8"/>
    <w:rsid w:val="00C45AE7"/>
    <w:rsid w:val="00C51B61"/>
    <w:rsid w:val="00C549EF"/>
    <w:rsid w:val="00C61AFD"/>
    <w:rsid w:val="00C65B6C"/>
    <w:rsid w:val="00C668FC"/>
    <w:rsid w:val="00C7425B"/>
    <w:rsid w:val="00C80C1F"/>
    <w:rsid w:val="00C81DED"/>
    <w:rsid w:val="00C8770F"/>
    <w:rsid w:val="00C90C42"/>
    <w:rsid w:val="00C978C0"/>
    <w:rsid w:val="00C97910"/>
    <w:rsid w:val="00CA33CB"/>
    <w:rsid w:val="00CA356C"/>
    <w:rsid w:val="00CA3B76"/>
    <w:rsid w:val="00CA6F6A"/>
    <w:rsid w:val="00CB03EE"/>
    <w:rsid w:val="00CB23F6"/>
    <w:rsid w:val="00CB3C54"/>
    <w:rsid w:val="00CB4746"/>
    <w:rsid w:val="00CB6CCF"/>
    <w:rsid w:val="00CB6FF0"/>
    <w:rsid w:val="00CB732C"/>
    <w:rsid w:val="00CC1D70"/>
    <w:rsid w:val="00CC462F"/>
    <w:rsid w:val="00CC6432"/>
    <w:rsid w:val="00CC780B"/>
    <w:rsid w:val="00CE1BC6"/>
    <w:rsid w:val="00CE47B1"/>
    <w:rsid w:val="00CE6AFE"/>
    <w:rsid w:val="00CE6FBC"/>
    <w:rsid w:val="00CF5EFD"/>
    <w:rsid w:val="00CF5F75"/>
    <w:rsid w:val="00CF60BE"/>
    <w:rsid w:val="00D07BF8"/>
    <w:rsid w:val="00D108D1"/>
    <w:rsid w:val="00D11A92"/>
    <w:rsid w:val="00D124BD"/>
    <w:rsid w:val="00D16C85"/>
    <w:rsid w:val="00D218AC"/>
    <w:rsid w:val="00D22BCE"/>
    <w:rsid w:val="00D232CC"/>
    <w:rsid w:val="00D250DA"/>
    <w:rsid w:val="00D30A7D"/>
    <w:rsid w:val="00D3303F"/>
    <w:rsid w:val="00D344A2"/>
    <w:rsid w:val="00D37050"/>
    <w:rsid w:val="00D37804"/>
    <w:rsid w:val="00D43C04"/>
    <w:rsid w:val="00D4408C"/>
    <w:rsid w:val="00D46442"/>
    <w:rsid w:val="00D46A93"/>
    <w:rsid w:val="00D51094"/>
    <w:rsid w:val="00D522AA"/>
    <w:rsid w:val="00D54593"/>
    <w:rsid w:val="00D55ADD"/>
    <w:rsid w:val="00D56CD9"/>
    <w:rsid w:val="00D61008"/>
    <w:rsid w:val="00D6106B"/>
    <w:rsid w:val="00D679C9"/>
    <w:rsid w:val="00D76B1A"/>
    <w:rsid w:val="00D8240A"/>
    <w:rsid w:val="00D83C46"/>
    <w:rsid w:val="00D84140"/>
    <w:rsid w:val="00D8658D"/>
    <w:rsid w:val="00D9283A"/>
    <w:rsid w:val="00D93A86"/>
    <w:rsid w:val="00D96250"/>
    <w:rsid w:val="00D97442"/>
    <w:rsid w:val="00DA212B"/>
    <w:rsid w:val="00DB1A71"/>
    <w:rsid w:val="00DB2DAA"/>
    <w:rsid w:val="00DB5A9F"/>
    <w:rsid w:val="00DC02CF"/>
    <w:rsid w:val="00DC17C8"/>
    <w:rsid w:val="00DC4E0A"/>
    <w:rsid w:val="00DC755D"/>
    <w:rsid w:val="00DD4377"/>
    <w:rsid w:val="00DD4643"/>
    <w:rsid w:val="00DD520B"/>
    <w:rsid w:val="00DD693F"/>
    <w:rsid w:val="00DE2FFE"/>
    <w:rsid w:val="00DE392D"/>
    <w:rsid w:val="00DE4057"/>
    <w:rsid w:val="00DE46CF"/>
    <w:rsid w:val="00DF0582"/>
    <w:rsid w:val="00DF17B9"/>
    <w:rsid w:val="00DF4891"/>
    <w:rsid w:val="00DF4955"/>
    <w:rsid w:val="00E0309A"/>
    <w:rsid w:val="00E04C47"/>
    <w:rsid w:val="00E07260"/>
    <w:rsid w:val="00E103AE"/>
    <w:rsid w:val="00E118EF"/>
    <w:rsid w:val="00E15576"/>
    <w:rsid w:val="00E179BD"/>
    <w:rsid w:val="00E17CB5"/>
    <w:rsid w:val="00E2090C"/>
    <w:rsid w:val="00E20A34"/>
    <w:rsid w:val="00E25DF5"/>
    <w:rsid w:val="00E25EB8"/>
    <w:rsid w:val="00E26C04"/>
    <w:rsid w:val="00E3035F"/>
    <w:rsid w:val="00E30B83"/>
    <w:rsid w:val="00E30B8A"/>
    <w:rsid w:val="00E356B9"/>
    <w:rsid w:val="00E40CA3"/>
    <w:rsid w:val="00E40EE3"/>
    <w:rsid w:val="00E42616"/>
    <w:rsid w:val="00E4643C"/>
    <w:rsid w:val="00E46AD0"/>
    <w:rsid w:val="00E51E6B"/>
    <w:rsid w:val="00E56896"/>
    <w:rsid w:val="00E60931"/>
    <w:rsid w:val="00E62617"/>
    <w:rsid w:val="00E645AD"/>
    <w:rsid w:val="00E65E14"/>
    <w:rsid w:val="00E719E3"/>
    <w:rsid w:val="00E7249D"/>
    <w:rsid w:val="00E73A9E"/>
    <w:rsid w:val="00E73BED"/>
    <w:rsid w:val="00E74C33"/>
    <w:rsid w:val="00E752FB"/>
    <w:rsid w:val="00E75C6E"/>
    <w:rsid w:val="00E76E8A"/>
    <w:rsid w:val="00E84446"/>
    <w:rsid w:val="00E849CE"/>
    <w:rsid w:val="00E864DB"/>
    <w:rsid w:val="00E86D72"/>
    <w:rsid w:val="00E961AF"/>
    <w:rsid w:val="00E97961"/>
    <w:rsid w:val="00EB11C7"/>
    <w:rsid w:val="00EB2A8A"/>
    <w:rsid w:val="00EB557B"/>
    <w:rsid w:val="00EB617D"/>
    <w:rsid w:val="00EB71EA"/>
    <w:rsid w:val="00EC02A5"/>
    <w:rsid w:val="00EC3AEA"/>
    <w:rsid w:val="00ED49DE"/>
    <w:rsid w:val="00ED4A73"/>
    <w:rsid w:val="00ED4BAB"/>
    <w:rsid w:val="00ED5B56"/>
    <w:rsid w:val="00ED6DDB"/>
    <w:rsid w:val="00EE1230"/>
    <w:rsid w:val="00EE47EC"/>
    <w:rsid w:val="00EE6FA7"/>
    <w:rsid w:val="00EE6FE9"/>
    <w:rsid w:val="00EE761D"/>
    <w:rsid w:val="00EF3815"/>
    <w:rsid w:val="00EF55CD"/>
    <w:rsid w:val="00F01956"/>
    <w:rsid w:val="00F05A34"/>
    <w:rsid w:val="00F11084"/>
    <w:rsid w:val="00F15CC1"/>
    <w:rsid w:val="00F20122"/>
    <w:rsid w:val="00F2093F"/>
    <w:rsid w:val="00F21DA5"/>
    <w:rsid w:val="00F30D90"/>
    <w:rsid w:val="00F32F46"/>
    <w:rsid w:val="00F34F6A"/>
    <w:rsid w:val="00F37007"/>
    <w:rsid w:val="00F40C1C"/>
    <w:rsid w:val="00F4156D"/>
    <w:rsid w:val="00F43393"/>
    <w:rsid w:val="00F52B8C"/>
    <w:rsid w:val="00F559EF"/>
    <w:rsid w:val="00F5714F"/>
    <w:rsid w:val="00F60006"/>
    <w:rsid w:val="00F62C91"/>
    <w:rsid w:val="00F66D34"/>
    <w:rsid w:val="00F714B9"/>
    <w:rsid w:val="00F7194E"/>
    <w:rsid w:val="00F71F5C"/>
    <w:rsid w:val="00F73407"/>
    <w:rsid w:val="00F738CE"/>
    <w:rsid w:val="00F744A3"/>
    <w:rsid w:val="00F75A29"/>
    <w:rsid w:val="00F80F01"/>
    <w:rsid w:val="00F85134"/>
    <w:rsid w:val="00F91859"/>
    <w:rsid w:val="00F95062"/>
    <w:rsid w:val="00F97D81"/>
    <w:rsid w:val="00FA60FF"/>
    <w:rsid w:val="00FB5097"/>
    <w:rsid w:val="00FB51B3"/>
    <w:rsid w:val="00FB736C"/>
    <w:rsid w:val="00FB7E8F"/>
    <w:rsid w:val="00FC2E73"/>
    <w:rsid w:val="00FC756A"/>
    <w:rsid w:val="00FD248C"/>
    <w:rsid w:val="00FD387F"/>
    <w:rsid w:val="00FD4209"/>
    <w:rsid w:val="00FD4B56"/>
    <w:rsid w:val="00FD59D7"/>
    <w:rsid w:val="00FD6D17"/>
    <w:rsid w:val="00FD7335"/>
    <w:rsid w:val="00FE1400"/>
    <w:rsid w:val="00FE146E"/>
    <w:rsid w:val="00FE387F"/>
    <w:rsid w:val="00FE5FBF"/>
    <w:rsid w:val="00FE6A43"/>
    <w:rsid w:val="00FF3094"/>
    <w:rsid w:val="00FF7D54"/>
    <w:rsid w:val="02647EE4"/>
    <w:rsid w:val="02AA2A1C"/>
    <w:rsid w:val="03267E51"/>
    <w:rsid w:val="04161986"/>
    <w:rsid w:val="04F37B9D"/>
    <w:rsid w:val="066675C5"/>
    <w:rsid w:val="07092254"/>
    <w:rsid w:val="07C63FC8"/>
    <w:rsid w:val="099571D4"/>
    <w:rsid w:val="0A5A42B5"/>
    <w:rsid w:val="0BE31656"/>
    <w:rsid w:val="0DD25823"/>
    <w:rsid w:val="12733233"/>
    <w:rsid w:val="12E81A4B"/>
    <w:rsid w:val="12E95DC3"/>
    <w:rsid w:val="13C74060"/>
    <w:rsid w:val="144C3E33"/>
    <w:rsid w:val="16BB28C2"/>
    <w:rsid w:val="176C3E6B"/>
    <w:rsid w:val="1B7B3B3C"/>
    <w:rsid w:val="1E023083"/>
    <w:rsid w:val="1E68776B"/>
    <w:rsid w:val="1F631A80"/>
    <w:rsid w:val="20611F92"/>
    <w:rsid w:val="21191CCB"/>
    <w:rsid w:val="229D6FE0"/>
    <w:rsid w:val="22D04AD2"/>
    <w:rsid w:val="23570374"/>
    <w:rsid w:val="28931280"/>
    <w:rsid w:val="28D27CB4"/>
    <w:rsid w:val="28D307D2"/>
    <w:rsid w:val="2BA644A5"/>
    <w:rsid w:val="2CDB2ADB"/>
    <w:rsid w:val="30561DFC"/>
    <w:rsid w:val="316964C2"/>
    <w:rsid w:val="31700239"/>
    <w:rsid w:val="3216448E"/>
    <w:rsid w:val="351154A8"/>
    <w:rsid w:val="35BC5EF6"/>
    <w:rsid w:val="35D97625"/>
    <w:rsid w:val="39034EDF"/>
    <w:rsid w:val="3A276085"/>
    <w:rsid w:val="3C587C72"/>
    <w:rsid w:val="3CE74458"/>
    <w:rsid w:val="3D6B67D2"/>
    <w:rsid w:val="3E1E3E55"/>
    <w:rsid w:val="3EB80900"/>
    <w:rsid w:val="3F824D6B"/>
    <w:rsid w:val="3FF773EE"/>
    <w:rsid w:val="41D14B28"/>
    <w:rsid w:val="42605486"/>
    <w:rsid w:val="4330492A"/>
    <w:rsid w:val="43FC3E53"/>
    <w:rsid w:val="45D1793A"/>
    <w:rsid w:val="45EC7383"/>
    <w:rsid w:val="46820B00"/>
    <w:rsid w:val="4B2873F7"/>
    <w:rsid w:val="4C230869"/>
    <w:rsid w:val="4D3101EF"/>
    <w:rsid w:val="505B16CF"/>
    <w:rsid w:val="545B70A5"/>
    <w:rsid w:val="546E59D2"/>
    <w:rsid w:val="552C4A11"/>
    <w:rsid w:val="562B130A"/>
    <w:rsid w:val="570C2CEE"/>
    <w:rsid w:val="580462AB"/>
    <w:rsid w:val="58841BCE"/>
    <w:rsid w:val="5C9424B4"/>
    <w:rsid w:val="5D0A52BC"/>
    <w:rsid w:val="5D670A84"/>
    <w:rsid w:val="5E6F4A2A"/>
    <w:rsid w:val="5EF93827"/>
    <w:rsid w:val="634A4766"/>
    <w:rsid w:val="63BE2642"/>
    <w:rsid w:val="63BE6869"/>
    <w:rsid w:val="65C30F6D"/>
    <w:rsid w:val="667C2A91"/>
    <w:rsid w:val="668739EA"/>
    <w:rsid w:val="69E65A1F"/>
    <w:rsid w:val="6BFDB6A2"/>
    <w:rsid w:val="6DEA191D"/>
    <w:rsid w:val="6FFF000B"/>
    <w:rsid w:val="71785365"/>
    <w:rsid w:val="78970BBF"/>
    <w:rsid w:val="7B863536"/>
    <w:rsid w:val="7BA667FA"/>
    <w:rsid w:val="7F376271"/>
    <w:rsid w:val="7F625AFE"/>
    <w:rsid w:val="ABDE9596"/>
    <w:rsid w:val="D6EFE828"/>
    <w:rsid w:val="EAE879F9"/>
    <w:rsid w:val="F3FF7AB8"/>
    <w:rsid w:val="F7FFFF3B"/>
    <w:rsid w:val="FF9BC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link w:val="29"/>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30"/>
    <w:qFormat/>
    <w:uiPriority w:val="9"/>
    <w:pPr>
      <w:keepNext/>
      <w:keepLines/>
      <w:spacing w:before="280" w:after="290" w:line="376" w:lineRule="auto"/>
      <w:outlineLvl w:val="4"/>
    </w:pPr>
    <w:rPr>
      <w:b/>
      <w:bCs/>
      <w:sz w:val="28"/>
      <w:szCs w:val="28"/>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31"/>
    <w:qFormat/>
    <w:uiPriority w:val="0"/>
    <w:pPr>
      <w:jc w:val="left"/>
    </w:pPr>
  </w:style>
  <w:style w:type="paragraph" w:styleId="10">
    <w:name w:val="Body Text"/>
    <w:basedOn w:val="1"/>
    <w:link w:val="32"/>
    <w:qFormat/>
    <w:uiPriority w:val="0"/>
    <w:pPr>
      <w:autoSpaceDE w:val="0"/>
      <w:autoSpaceDN w:val="0"/>
      <w:adjustRightInd w:val="0"/>
      <w:spacing w:line="360" w:lineRule="auto"/>
      <w:jc w:val="left"/>
    </w:pPr>
    <w:rPr>
      <w:rFonts w:ascii="宋体"/>
      <w:kern w:val="0"/>
    </w:rPr>
  </w:style>
  <w:style w:type="paragraph" w:styleId="11">
    <w:name w:val="toc 3"/>
    <w:basedOn w:val="1"/>
    <w:next w:val="1"/>
    <w:qFormat/>
    <w:uiPriority w:val="0"/>
    <w:pPr>
      <w:ind w:left="840" w:leftChars="400"/>
    </w:pPr>
  </w:style>
  <w:style w:type="paragraph" w:styleId="12">
    <w:name w:val="Plain Text"/>
    <w:basedOn w:val="1"/>
    <w:qFormat/>
    <w:uiPriority w:val="0"/>
    <w:pPr>
      <w:adjustRightInd w:val="0"/>
      <w:spacing w:line="312" w:lineRule="atLeast"/>
      <w:textAlignment w:val="baseline"/>
    </w:pPr>
    <w:rPr>
      <w:rFonts w:ascii="宋体" w:hAnsi="Courier New"/>
      <w:kern w:val="0"/>
    </w:rPr>
  </w:style>
  <w:style w:type="paragraph" w:styleId="13">
    <w:name w:val="Body Text Indent 2"/>
    <w:basedOn w:val="1"/>
    <w:qFormat/>
    <w:uiPriority w:val="0"/>
    <w:pPr>
      <w:spacing w:line="360" w:lineRule="auto"/>
      <w:ind w:firstLine="425"/>
    </w:pPr>
    <w:rPr>
      <w:rFonts w:ascii="仿宋_GB2312" w:eastAsia="仿宋_GB2312"/>
      <w:sz w:val="28"/>
    </w:rPr>
  </w:style>
  <w:style w:type="paragraph" w:styleId="14">
    <w:name w:val="Balloon Text"/>
    <w:basedOn w:val="1"/>
    <w:qFormat/>
    <w:uiPriority w:val="0"/>
    <w:rPr>
      <w:sz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33"/>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tabs>
        <w:tab w:val="right" w:leader="dot" w:pos="8296"/>
      </w:tabs>
      <w:spacing w:line="360" w:lineRule="auto"/>
    </w:pPr>
  </w:style>
  <w:style w:type="paragraph" w:styleId="18">
    <w:name w:val="footnote text"/>
    <w:basedOn w:val="1"/>
    <w:qFormat/>
    <w:uiPriority w:val="0"/>
    <w:pPr>
      <w:snapToGrid w:val="0"/>
      <w:jc w:val="left"/>
    </w:pPr>
    <w:rPr>
      <w:sz w:val="18"/>
    </w:rPr>
  </w:style>
  <w:style w:type="paragraph" w:styleId="19">
    <w:name w:val="Body Text Indent 3"/>
    <w:basedOn w:val="1"/>
    <w:qFormat/>
    <w:uiPriority w:val="0"/>
    <w:pPr>
      <w:autoSpaceDE w:val="0"/>
      <w:autoSpaceDN w:val="0"/>
      <w:adjustRightInd w:val="0"/>
      <w:spacing w:line="360" w:lineRule="auto"/>
      <w:ind w:left="420" w:firstLine="435"/>
    </w:pPr>
    <w:rPr>
      <w:color w:val="0000FF"/>
    </w:rPr>
  </w:style>
  <w:style w:type="paragraph" w:styleId="20">
    <w:name w:val="Normal (Web)"/>
    <w:basedOn w:val="1"/>
    <w:unhideWhenUsed/>
    <w:qFormat/>
    <w:uiPriority w:val="99"/>
    <w:rPr>
      <w:sz w:val="24"/>
      <w:szCs w:val="24"/>
    </w:rPr>
  </w:style>
  <w:style w:type="paragraph" w:styleId="21">
    <w:name w:val="Title"/>
    <w:basedOn w:val="1"/>
    <w:next w:val="1"/>
    <w:link w:val="34"/>
    <w:qFormat/>
    <w:uiPriority w:val="0"/>
    <w:pPr>
      <w:spacing w:before="240" w:after="60"/>
      <w:jc w:val="center"/>
      <w:outlineLvl w:val="0"/>
    </w:pPr>
    <w:rPr>
      <w:rFonts w:ascii="Cambria" w:hAnsi="Cambria"/>
      <w:b/>
      <w:sz w:val="32"/>
    </w:rPr>
  </w:style>
  <w:style w:type="paragraph" w:styleId="22">
    <w:name w:val="annotation subject"/>
    <w:basedOn w:val="9"/>
    <w:next w:val="9"/>
    <w:qFormat/>
    <w:uiPriority w:val="0"/>
    <w:rPr>
      <w:b/>
    </w:rPr>
  </w:style>
  <w:style w:type="character" w:styleId="25">
    <w:name w:val="page number"/>
    <w:qFormat/>
    <w:uiPriority w:val="0"/>
  </w:style>
  <w:style w:type="character" w:styleId="26">
    <w:name w:val="Hyperlink"/>
    <w:qFormat/>
    <w:uiPriority w:val="99"/>
    <w:rPr>
      <w:color w:val="0000FF"/>
      <w:u w:val="single"/>
    </w:rPr>
  </w:style>
  <w:style w:type="character" w:styleId="27">
    <w:name w:val="annotation reference"/>
    <w:qFormat/>
    <w:uiPriority w:val="0"/>
    <w:rPr>
      <w:sz w:val="21"/>
    </w:rPr>
  </w:style>
  <w:style w:type="character" w:styleId="28">
    <w:name w:val="footnote reference"/>
    <w:qFormat/>
    <w:uiPriority w:val="0"/>
    <w:rPr>
      <w:vertAlign w:val="superscript"/>
    </w:rPr>
  </w:style>
  <w:style w:type="character" w:customStyle="1" w:styleId="29">
    <w:name w:val="标题 4 Char"/>
    <w:link w:val="5"/>
    <w:semiHidden/>
    <w:qFormat/>
    <w:uiPriority w:val="9"/>
    <w:rPr>
      <w:rFonts w:ascii="Cambria" w:hAnsi="Cambria" w:eastAsia="宋体" w:cs="Times New Roman"/>
      <w:b/>
      <w:bCs/>
      <w:kern w:val="2"/>
      <w:sz w:val="28"/>
      <w:szCs w:val="28"/>
    </w:rPr>
  </w:style>
  <w:style w:type="character" w:customStyle="1" w:styleId="30">
    <w:name w:val="标题 5 Char"/>
    <w:link w:val="6"/>
    <w:semiHidden/>
    <w:qFormat/>
    <w:uiPriority w:val="9"/>
    <w:rPr>
      <w:b/>
      <w:bCs/>
      <w:kern w:val="2"/>
      <w:sz w:val="28"/>
      <w:szCs w:val="28"/>
    </w:rPr>
  </w:style>
  <w:style w:type="character" w:customStyle="1" w:styleId="31">
    <w:name w:val="批注文字 Char"/>
    <w:link w:val="9"/>
    <w:qFormat/>
    <w:uiPriority w:val="0"/>
    <w:rPr>
      <w:kern w:val="2"/>
      <w:sz w:val="21"/>
    </w:rPr>
  </w:style>
  <w:style w:type="character" w:customStyle="1" w:styleId="32">
    <w:name w:val="正文文本 Char"/>
    <w:link w:val="10"/>
    <w:qFormat/>
    <w:uiPriority w:val="0"/>
    <w:rPr>
      <w:rFonts w:ascii="宋体"/>
      <w:kern w:val="0"/>
    </w:rPr>
  </w:style>
  <w:style w:type="character" w:customStyle="1" w:styleId="33">
    <w:name w:val="页眉 Char"/>
    <w:link w:val="16"/>
    <w:qFormat/>
    <w:uiPriority w:val="0"/>
    <w:rPr>
      <w:rFonts w:eastAsia="宋体"/>
      <w:kern w:val="2"/>
      <w:sz w:val="18"/>
      <w:lang w:val="en-US" w:eastAsia="zh-CN"/>
    </w:rPr>
  </w:style>
  <w:style w:type="character" w:customStyle="1" w:styleId="34">
    <w:name w:val="标题 Char"/>
    <w:link w:val="21"/>
    <w:qFormat/>
    <w:uiPriority w:val="0"/>
    <w:rPr>
      <w:rFonts w:ascii="Cambria" w:hAnsi="Cambria"/>
      <w:b/>
      <w:kern w:val="2"/>
      <w:sz w:val="32"/>
    </w:rPr>
  </w:style>
  <w:style w:type="character" w:customStyle="1" w:styleId="35">
    <w:name w:val="read"/>
    <w:qFormat/>
    <w:uiPriority w:val="0"/>
  </w:style>
  <w:style w:type="character" w:customStyle="1" w:styleId="36">
    <w:name w:val="unnamed11"/>
    <w:qFormat/>
    <w:uiPriority w:val="0"/>
    <w:rPr>
      <w:rFonts w:hint="eastAsia" w:ascii="宋体" w:hAnsi="宋体" w:eastAsia="宋体"/>
      <w:sz w:val="18"/>
    </w:rPr>
  </w:style>
  <w:style w:type="paragraph" w:customStyle="1" w:styleId="37">
    <w:name w:val="Char"/>
    <w:basedOn w:val="1"/>
    <w:qFormat/>
    <w:uiPriority w:val="0"/>
  </w:style>
  <w:style w:type="paragraph" w:customStyle="1" w:styleId="38">
    <w:name w:val="unnamed1"/>
    <w:basedOn w:val="1"/>
    <w:qFormat/>
    <w:uiPriority w:val="0"/>
    <w:pPr>
      <w:spacing w:before="60" w:after="60"/>
      <w:ind w:left="15" w:right="15"/>
    </w:pPr>
    <w:rPr>
      <w:rFonts w:hint="eastAsia" w:ascii="宋体" w:hAnsi="宋体"/>
      <w:color w:val="000000"/>
      <w:sz w:val="18"/>
      <w:szCs w:val="18"/>
    </w:rPr>
  </w:style>
  <w:style w:type="paragraph" w:customStyle="1" w:styleId="39">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Char Char1"/>
    <w:basedOn w:val="1"/>
    <w:qFormat/>
    <w:uiPriority w:val="0"/>
  </w:style>
  <w:style w:type="paragraph" w:customStyle="1" w:styleId="41">
    <w:name w:val="Char1"/>
    <w:basedOn w:val="1"/>
    <w:qFormat/>
    <w:uiPriority w:val="0"/>
  </w:style>
  <w:style w:type="paragraph" w:customStyle="1" w:styleId="42">
    <w:name w:val="InfoBlue"/>
    <w:basedOn w:val="1"/>
    <w:next w:val="10"/>
    <w:qFormat/>
    <w:uiPriority w:val="0"/>
    <w:pPr>
      <w:tabs>
        <w:tab w:val="left" w:pos="420"/>
      </w:tabs>
      <w:spacing w:after="120" w:line="240" w:lineRule="atLeast"/>
      <w:ind w:left="420" w:hanging="420"/>
      <w:jc w:val="left"/>
    </w:pPr>
    <w:rPr>
      <w:rFonts w:ascii="宋体" w:hAnsi="宋体"/>
    </w:rPr>
  </w:style>
  <w:style w:type="paragraph" w:customStyle="1" w:styleId="43">
    <w:name w:val="_Style 42"/>
    <w:semiHidden/>
    <w:qFormat/>
    <w:uiPriority w:val="99"/>
    <w:rPr>
      <w:rFonts w:ascii="Times New Roman" w:hAnsi="Times New Roman" w:eastAsia="宋体" w:cs="Times New Roman"/>
      <w:kern w:val="2"/>
      <w:sz w:val="21"/>
      <w:lang w:val="en-US" w:eastAsia="zh-CN" w:bidi="ar-SA"/>
    </w:rPr>
  </w:style>
  <w:style w:type="paragraph" w:customStyle="1" w:styleId="44">
    <w:name w:val="正文所"/>
    <w:basedOn w:val="1"/>
    <w:qFormat/>
    <w:uiPriority w:val="0"/>
    <w:pPr>
      <w:spacing w:line="360" w:lineRule="auto"/>
      <w:ind w:firstLine="420" w:firstLineChars="200"/>
    </w:pPr>
    <w:rPr>
      <w:rFonts w:ascii="宋体"/>
    </w:rPr>
  </w:style>
  <w:style w:type="paragraph" w:customStyle="1" w:styleId="4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6">
    <w:name w:val="正文正文"/>
    <w:basedOn w:val="1"/>
    <w:qFormat/>
    <w:uiPriority w:val="0"/>
    <w:pPr>
      <w:spacing w:after="78" w:afterLines="25" w:line="360" w:lineRule="auto"/>
      <w:ind w:firstLine="200" w:firstLineChars="200"/>
    </w:pPr>
    <w:rPr>
      <w:sz w:val="24"/>
    </w:rPr>
  </w:style>
  <w:style w:type="paragraph" w:customStyle="1" w:styleId="47">
    <w:name w:val="Char Char Char"/>
    <w:basedOn w:val="1"/>
    <w:qFormat/>
    <w:uiPriority w:val="0"/>
  </w:style>
  <w:style w:type="paragraph" w:customStyle="1" w:styleId="48">
    <w:name w:val="List_bullet"/>
    <w:basedOn w:val="1"/>
    <w:qFormat/>
    <w:uiPriority w:val="0"/>
    <w:pPr>
      <w:widowControl/>
      <w:numPr>
        <w:ilvl w:val="0"/>
        <w:numId w:val="1"/>
      </w:numPr>
      <w:jc w:val="left"/>
    </w:pPr>
    <w:rPr>
      <w:kern w:val="0"/>
      <w:sz w:val="24"/>
    </w:rPr>
  </w:style>
  <w:style w:type="paragraph" w:customStyle="1" w:styleId="49">
    <w:name w:val="Char Char"/>
    <w:basedOn w:val="1"/>
    <w:qFormat/>
    <w:uiPriority w:val="0"/>
  </w:style>
  <w:style w:type="paragraph" w:customStyle="1" w:styleId="50">
    <w:name w:val="Revision"/>
    <w:hidden/>
    <w:semiHidden/>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940AC-102D-4C2B-8C05-2DCC647FBFC5}">
  <ds:schemaRefs/>
</ds:datastoreItem>
</file>

<file path=docProps/app.xml><?xml version="1.0" encoding="utf-8"?>
<Properties xmlns="http://schemas.openxmlformats.org/officeDocument/2006/extended-properties" xmlns:vt="http://schemas.openxmlformats.org/officeDocument/2006/docPropsVTypes">
  <Template>Normal.dotm</Template>
  <Pages>83</Pages>
  <Words>7993</Words>
  <Characters>45562</Characters>
  <Lines>379</Lines>
  <Paragraphs>106</Paragraphs>
  <TotalTime>529</TotalTime>
  <ScaleCrop>false</ScaleCrop>
  <LinksUpToDate>false</LinksUpToDate>
  <CharactersWithSpaces>53449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2022-05-29T03:28:00Z</dcterms:created>
  <dc:creator>李佳</dc:creator>
  <cp:lastModifiedBy>李逸天</cp:lastModifiedBy>
  <cp:lastPrinted>2025-08-18T10:54:00Z</cp:lastPrinted>
  <dcterms:modified xsi:type="dcterms:W3CDTF">2025-09-09T01:50:34Z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4D2C37F450CC477C9DA6E5B41B78E967_13</vt:lpwstr>
  </property>
  <property fmtid="{D5CDD505-2E9C-101B-9397-08002B2CF9AE}" pid="4" name="KSOTemplateDocerSaveRecord">
    <vt:lpwstr>eyJoZGlkIjoiNWJkMGU0M2M2MWEyNmM2NzczMDk2ZDQwZDQzZDhlMTQiLCJ1c2VySWQiOiIzNjkzMDQyMjkifQ==</vt:lpwstr>
  </property>
</Properties>
</file>